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60" w:lineRule="exact"/>
        <w:jc w:val="center"/>
        <w:rPr>
          <w:rFonts w:hint="eastAsia" w:ascii="方正小标宋简体" w:hAnsi="宋体" w:eastAsia="方正小标宋简体"/>
          <w:bCs/>
          <w:color w:val="000000" w:themeColor="text1"/>
          <w:sz w:val="18"/>
          <w:szCs w:val="18"/>
          <w14:textFill>
            <w14:solidFill>
              <w14:schemeClr w14:val="tx1"/>
            </w14:solidFill>
          </w14:textFill>
        </w:rPr>
      </w:pPr>
    </w:p>
    <w:p>
      <w:pPr>
        <w:widowControl/>
        <w:spacing w:line="560" w:lineRule="exact"/>
        <w:jc w:val="center"/>
        <w:rPr>
          <w:rFonts w:hint="eastAsia" w:ascii="方正小标宋简体" w:hAnsi="宋体" w:eastAsia="方正小标宋简体"/>
          <w:bCs/>
          <w:color w:val="000000" w:themeColor="text1"/>
          <w:sz w:val="36"/>
          <w:szCs w:val="32"/>
          <w14:textFill>
            <w14:solidFill>
              <w14:schemeClr w14:val="tx1"/>
            </w14:solidFill>
          </w14:textFill>
        </w:rPr>
      </w:pPr>
      <w:r>
        <w:rPr>
          <w:rFonts w:hint="eastAsia" w:ascii="方正小标宋简体" w:hAnsi="宋体" w:eastAsia="方正小标宋简体"/>
          <w:bCs/>
          <w:color w:val="000000" w:themeColor="text1"/>
          <w:sz w:val="36"/>
          <w:szCs w:val="32"/>
          <w14:textFill>
            <w14:solidFill>
              <w14:schemeClr w14:val="tx1"/>
            </w14:solidFill>
          </w14:textFill>
        </w:rPr>
        <w:t>第十五届全国运动会垒球项目竞赛规程</w:t>
      </w:r>
    </w:p>
    <w:p>
      <w:pPr>
        <w:pStyle w:val="7"/>
        <w:snapToGrid w:val="0"/>
        <w:spacing w:before="0" w:beforeAutospacing="0" w:after="0" w:afterAutospacing="0" w:line="560" w:lineRule="exact"/>
        <w:ind w:firstLine="600" w:firstLineChars="200"/>
        <w:rPr>
          <w:rFonts w:hint="eastAsia" w:ascii="黑体" w:hAnsi="黑体" w:eastAsia="黑体"/>
          <w:color w:val="000000" w:themeColor="text1"/>
          <w:sz w:val="30"/>
          <w:szCs w:val="30"/>
          <w14:textFill>
            <w14:solidFill>
              <w14:schemeClr w14:val="tx1"/>
            </w14:solidFill>
          </w14:textFill>
        </w:rPr>
      </w:pPr>
    </w:p>
    <w:p>
      <w:pPr>
        <w:pStyle w:val="7"/>
        <w:snapToGrid w:val="0"/>
        <w:spacing w:before="0" w:beforeAutospacing="0" w:after="0" w:afterAutospacing="0" w:line="560" w:lineRule="exact"/>
        <w:ind w:firstLine="600" w:firstLineChars="200"/>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一、竞赛项目</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女子</w:t>
      </w:r>
    </w:p>
    <w:p>
      <w:pPr>
        <w:pStyle w:val="7"/>
        <w:snapToGrid w:val="0"/>
        <w:spacing w:before="0" w:beforeAutospacing="0" w:after="0" w:afterAutospacing="0" w:line="560" w:lineRule="exact"/>
        <w:ind w:firstLine="600" w:firstLineChars="200"/>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二、运动员资格</w:t>
      </w:r>
    </w:p>
    <w:p>
      <w:pPr>
        <w:pStyle w:val="7"/>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（一）符合《中华人民共</w:t>
      </w:r>
      <w:bookmarkStart w:id="0" w:name="_GoBack"/>
      <w:bookmarkEnd w:id="0"/>
      <w:r>
        <w:rPr>
          <w:rFonts w:hint="eastAsia" w:ascii="仿宋" w:hAnsi="仿宋" w:eastAsia="仿宋" w:cs="仿宋"/>
          <w:color w:val="000000" w:themeColor="text1"/>
          <w:sz w:val="32"/>
          <w:szCs w:val="32"/>
          <w14:textFill>
            <w14:solidFill>
              <w14:schemeClr w14:val="tx1"/>
            </w14:solidFill>
          </w14:textFill>
        </w:rPr>
        <w:t>和国第十五届运动会竞赛规程总则》（体竞字〔2023〕1号）第四条规定。</w:t>
      </w:r>
    </w:p>
    <w:p>
      <w:pPr>
        <w:pStyle w:val="7"/>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（二）每队报名时，决赛阶段</w:t>
      </w:r>
      <w:r>
        <w:rPr>
          <w:rFonts w:ascii="仿宋" w:hAnsi="仿宋" w:eastAsia="仿宋" w:cs="仿宋"/>
          <w:color w:val="000000" w:themeColor="text1"/>
          <w:sz w:val="32"/>
          <w:szCs w:val="32"/>
          <w14:textFill>
            <w14:solidFill>
              <w14:schemeClr w14:val="tx1"/>
            </w14:solidFill>
          </w14:textFill>
        </w:rPr>
        <w:t>2002年12月31日</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含</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前出生</w:t>
      </w:r>
      <w:r>
        <w:rPr>
          <w:rFonts w:hint="eastAsia" w:ascii="仿宋" w:hAnsi="仿宋" w:eastAsia="仿宋" w:cs="仿宋"/>
          <w:color w:val="000000" w:themeColor="text1"/>
          <w:sz w:val="32"/>
          <w:szCs w:val="32"/>
          <w14:textFill>
            <w14:solidFill>
              <w14:schemeClr w14:val="tx1"/>
            </w14:solidFill>
          </w14:textFill>
        </w:rPr>
        <w:t>的运动员最多</w:t>
      </w:r>
      <w:r>
        <w:rPr>
          <w:rFonts w:ascii="仿宋" w:hAnsi="仿宋" w:eastAsia="仿宋" w:cs="仿宋"/>
          <w:color w:val="000000" w:themeColor="text1"/>
          <w:sz w:val="32"/>
          <w:szCs w:val="32"/>
          <w14:textFill>
            <w14:solidFill>
              <w14:schemeClr w14:val="tx1"/>
            </w14:solidFill>
          </w14:textFill>
        </w:rPr>
        <w:t>7人</w:t>
      </w:r>
      <w:r>
        <w:rPr>
          <w:rFonts w:hint="eastAsia" w:ascii="仿宋" w:hAnsi="仿宋" w:eastAsia="仿宋" w:cs="仿宋"/>
          <w:color w:val="000000" w:themeColor="text1"/>
          <w:sz w:val="32"/>
          <w:szCs w:val="32"/>
          <w14:textFill>
            <w14:solidFill>
              <w14:schemeClr w14:val="tx1"/>
            </w14:solidFill>
          </w14:textFill>
        </w:rPr>
        <w:t>，其他运动员2003年1月1日以后出生，报名投手中至少含</w:t>
      </w:r>
      <w:r>
        <w:rPr>
          <w:rFonts w:ascii="仿宋" w:hAnsi="仿宋" w:eastAsia="仿宋" w:cs="仿宋"/>
          <w:color w:val="000000" w:themeColor="text1"/>
          <w:sz w:val="32"/>
          <w:szCs w:val="32"/>
          <w14:textFill>
            <w14:solidFill>
              <w14:schemeClr w14:val="tx1"/>
            </w14:solidFill>
          </w14:textFill>
        </w:rPr>
        <w:t>2名2003年1月1日</w:t>
      </w:r>
      <w:r>
        <w:rPr>
          <w:rFonts w:hint="eastAsia" w:ascii="仿宋" w:hAnsi="仿宋" w:eastAsia="仿宋" w:cs="仿宋"/>
          <w:color w:val="000000" w:themeColor="text1"/>
          <w:sz w:val="32"/>
          <w:szCs w:val="32"/>
          <w14:textFill>
            <w14:solidFill>
              <w14:schemeClr w14:val="tx1"/>
            </w14:solidFill>
          </w14:textFill>
        </w:rPr>
        <w:t>至2010年12月31日间出生的运动员。</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（三）体能测试</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1.测试对象</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参赛运动员（香港、澳门除外）。</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2.测试办法与达标</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依照《第十五届全国运动会垒球项目体能测试与评分方法》进行体测，并达到以下标准：</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（1）场员总分达到84分（含）及以上。</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（2）投手总分达到60分（含）及以上。</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体测方案详见附件1。</w:t>
      </w:r>
    </w:p>
    <w:p>
      <w:pPr>
        <w:pStyle w:val="7"/>
        <w:snapToGrid w:val="0"/>
        <w:spacing w:before="0" w:beforeAutospacing="0" w:after="0" w:afterAutospacing="0" w:line="560" w:lineRule="exact"/>
        <w:ind w:firstLine="600" w:firstLineChars="200"/>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三、参加办法</w:t>
      </w:r>
    </w:p>
    <w:p>
      <w:pPr>
        <w:pStyle w:val="7"/>
        <w:snapToGrid w:val="0"/>
        <w:spacing w:before="0" w:beforeAutospacing="0" w:after="0" w:afterAutospacing="0" w:line="560" w:lineRule="exact"/>
        <w:ind w:firstLine="60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）除东道主队外，所有报名参加第十五届全国运动会比赛的队伍须参加资格赛。资格赛分为积分赛和2025年落选赛，从资格赛进入决赛</w:t>
      </w:r>
      <w:r>
        <w:rPr>
          <w:rFonts w:hint="eastAsia" w:ascii="仿宋" w:hAnsi="仿宋" w:eastAsia="仿宋" w:cs="仿宋"/>
          <w:color w:val="000000" w:themeColor="text1"/>
          <w:sz w:val="32"/>
          <w:szCs w:val="32"/>
          <w:lang w:eastAsia="zh-CN"/>
          <w14:textFill>
            <w14:solidFill>
              <w14:schemeClr w14:val="tx1"/>
            </w14:solidFill>
          </w14:textFill>
        </w:rPr>
        <w:t>阶段</w:t>
      </w:r>
      <w:r>
        <w:rPr>
          <w:rFonts w:hint="eastAsia" w:ascii="仿宋" w:hAnsi="仿宋" w:eastAsia="仿宋" w:cs="仿宋"/>
          <w:color w:val="000000" w:themeColor="text1"/>
          <w:sz w:val="32"/>
          <w:szCs w:val="32"/>
          <w14:textFill>
            <w14:solidFill>
              <w14:schemeClr w14:val="tx1"/>
            </w14:solidFill>
          </w14:textFill>
        </w:rPr>
        <w:t>的名额共7个。</w:t>
      </w:r>
    </w:p>
    <w:p>
      <w:pPr>
        <w:pStyle w:val="7"/>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（二）广东省、香港特别行政区、澳门特别行政区可以不参加资格赛，直接参加决赛阶段比赛。</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（三）决赛</w:t>
      </w:r>
      <w:r>
        <w:rPr>
          <w:rFonts w:hint="eastAsia" w:ascii="仿宋" w:hAnsi="仿宋" w:eastAsia="仿宋" w:cs="仿宋"/>
          <w:color w:val="000000" w:themeColor="text1"/>
          <w:sz w:val="32"/>
          <w:szCs w:val="32"/>
          <w:lang w:eastAsia="zh-CN"/>
          <w14:textFill>
            <w14:solidFill>
              <w14:schemeClr w14:val="tx1"/>
            </w14:solidFill>
          </w14:textFill>
        </w:rPr>
        <w:t>阶段</w:t>
      </w:r>
      <w:r>
        <w:rPr>
          <w:rFonts w:hint="eastAsia" w:ascii="仿宋" w:hAnsi="仿宋" w:eastAsia="仿宋" w:cs="仿宋"/>
          <w:color w:val="000000" w:themeColor="text1"/>
          <w:sz w:val="32"/>
          <w:szCs w:val="32"/>
          <w14:textFill>
            <w14:solidFill>
              <w14:schemeClr w14:val="tx1"/>
            </w14:solidFill>
          </w14:textFill>
        </w:rPr>
        <w:t>名额产生办法</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1.在积分赛中，除东道主外总积分前六名的队伍获得决赛</w:t>
      </w:r>
      <w:r>
        <w:rPr>
          <w:rFonts w:hint="eastAsia" w:ascii="仿宋" w:hAnsi="仿宋" w:eastAsia="仿宋" w:cs="仿宋"/>
          <w:color w:val="000000" w:themeColor="text1"/>
          <w:sz w:val="32"/>
          <w:szCs w:val="32"/>
          <w:lang w:eastAsia="zh-CN"/>
          <w14:textFill>
            <w14:solidFill>
              <w14:schemeClr w14:val="tx1"/>
            </w14:solidFill>
          </w14:textFill>
        </w:rPr>
        <w:t>阶段</w:t>
      </w:r>
      <w:r>
        <w:rPr>
          <w:rFonts w:hint="eastAsia" w:ascii="仿宋" w:hAnsi="仿宋" w:eastAsia="仿宋" w:cs="仿宋"/>
          <w:color w:val="000000" w:themeColor="text1"/>
          <w:sz w:val="32"/>
          <w:szCs w:val="32"/>
          <w14:textFill>
            <w14:solidFill>
              <w14:schemeClr w14:val="tx1"/>
            </w14:solidFill>
          </w14:textFill>
        </w:rPr>
        <w:t>名额，剩余1个决赛</w:t>
      </w:r>
      <w:r>
        <w:rPr>
          <w:rFonts w:hint="eastAsia" w:ascii="仿宋" w:hAnsi="仿宋" w:eastAsia="仿宋" w:cs="仿宋"/>
          <w:color w:val="000000" w:themeColor="text1"/>
          <w:sz w:val="32"/>
          <w:szCs w:val="32"/>
          <w:lang w:eastAsia="zh-CN"/>
          <w14:textFill>
            <w14:solidFill>
              <w14:schemeClr w14:val="tx1"/>
            </w14:solidFill>
          </w14:textFill>
        </w:rPr>
        <w:t>阶段</w:t>
      </w:r>
      <w:r>
        <w:rPr>
          <w:rFonts w:hint="eastAsia" w:ascii="仿宋" w:hAnsi="仿宋" w:eastAsia="仿宋" w:cs="仿宋"/>
          <w:color w:val="000000" w:themeColor="text1"/>
          <w:sz w:val="32"/>
          <w:szCs w:val="32"/>
          <w14:textFill>
            <w14:solidFill>
              <w14:schemeClr w14:val="tx1"/>
            </w14:solidFill>
          </w14:textFill>
        </w:rPr>
        <w:t>名额由落选赛冠军获得。</w:t>
      </w:r>
    </w:p>
    <w:p>
      <w:pPr>
        <w:pStyle w:val="7"/>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2.积分赛未获得决赛</w:t>
      </w:r>
      <w:r>
        <w:rPr>
          <w:rFonts w:hint="eastAsia" w:ascii="仿宋" w:hAnsi="仿宋" w:eastAsia="仿宋" w:cs="仿宋"/>
          <w:color w:val="000000" w:themeColor="text1"/>
          <w:sz w:val="32"/>
          <w:szCs w:val="32"/>
          <w:lang w:eastAsia="zh-CN"/>
          <w14:textFill>
            <w14:solidFill>
              <w14:schemeClr w14:val="tx1"/>
            </w14:solidFill>
          </w14:textFill>
        </w:rPr>
        <w:t>阶段</w:t>
      </w:r>
      <w:r>
        <w:rPr>
          <w:rFonts w:hint="eastAsia" w:ascii="仿宋" w:hAnsi="仿宋" w:eastAsia="仿宋" w:cs="仿宋"/>
          <w:color w:val="000000" w:themeColor="text1"/>
          <w:sz w:val="32"/>
          <w:szCs w:val="32"/>
          <w14:textFill>
            <w14:solidFill>
              <w14:schemeClr w14:val="tx1"/>
            </w14:solidFill>
          </w14:textFill>
        </w:rPr>
        <w:t>资格的队伍和其他未参加积分赛的队伍可参加2025年落选赛。</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（四）报名人数</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1.资格赛</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按照积分赛和落选赛竞赛规程确定报名人数。</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2.决赛</w:t>
      </w:r>
      <w:r>
        <w:rPr>
          <w:rFonts w:hint="eastAsia" w:ascii="仿宋" w:hAnsi="仿宋" w:eastAsia="仿宋" w:cs="仿宋"/>
          <w:color w:val="000000" w:themeColor="text1"/>
          <w:sz w:val="32"/>
          <w:szCs w:val="32"/>
          <w:lang w:eastAsia="zh-CN"/>
          <w14:textFill>
            <w14:solidFill>
              <w14:schemeClr w14:val="tx1"/>
            </w14:solidFill>
          </w14:textFill>
        </w:rPr>
        <w:t>阶段</w:t>
      </w:r>
      <w:r>
        <w:rPr>
          <w:rFonts w:hint="eastAsia" w:ascii="仿宋" w:hAnsi="仿宋" w:eastAsia="仿宋" w:cs="仿宋"/>
          <w:color w:val="000000" w:themeColor="text1"/>
          <w:sz w:val="32"/>
          <w:szCs w:val="32"/>
          <w14:textFill>
            <w14:solidFill>
              <w14:schemeClr w14:val="tx1"/>
            </w14:solidFill>
          </w14:textFill>
        </w:rPr>
        <w:t>：运动员15名。官员执行《中华人民共和国第十五届运动会竞赛规程总则》（体竞字〔2023〕1号）第三条第（三）项规定，由代表团统一分配确定。</w:t>
      </w:r>
    </w:p>
    <w:p>
      <w:pPr>
        <w:pStyle w:val="7"/>
        <w:snapToGrid w:val="0"/>
        <w:spacing w:before="0" w:beforeAutospacing="0" w:after="0" w:afterAutospacing="0" w:line="560" w:lineRule="exact"/>
        <w:ind w:firstLine="600" w:firstLineChars="200"/>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四、竞赛办法</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（一）资格赛</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1.积分赛：竞赛办法以各积分赛竞赛规程为准，《第十五届全国运动会垒球项目积分规则》详见附件2。</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2.落选赛：根据实际报名队数决定赛制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如比赛中某队在三局领先15分(含)以上、四局领先10分(含)以上或五局领先7分(含)以上时，比赛即结束。 </w:t>
      </w:r>
    </w:p>
    <w:p>
      <w:pPr>
        <w:pStyle w:val="7"/>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（二）决赛</w:t>
      </w:r>
      <w:r>
        <w:rPr>
          <w:rFonts w:hint="eastAsia" w:ascii="仿宋" w:hAnsi="仿宋" w:eastAsia="仿宋" w:cs="仿宋"/>
          <w:color w:val="000000" w:themeColor="text1"/>
          <w:sz w:val="32"/>
          <w:szCs w:val="32"/>
          <w:lang w:eastAsia="zh-CN"/>
          <w14:textFill>
            <w14:solidFill>
              <w14:schemeClr w14:val="tx1"/>
            </w14:solidFill>
          </w14:textFill>
        </w:rPr>
        <w:t>阶段</w:t>
      </w:r>
    </w:p>
    <w:p>
      <w:pPr>
        <w:pStyle w:val="7"/>
        <w:snapToGrid w:val="0"/>
        <w:spacing w:before="0" w:beforeAutospacing="0" w:after="0" w:afterAutospacing="0" w:line="360" w:lineRule="auto"/>
        <w:ind w:firstLine="595" w:firstLineChars="186"/>
        <w:jc w:val="both"/>
        <w:rPr>
          <w:rFonts w:hint="eastAsia" w:ascii="仿宋" w:hAnsi="仿宋" w:eastAsia="仿宋"/>
          <w:color w:val="000000"/>
          <w:sz w:val="32"/>
          <w:szCs w:val="32"/>
        </w:rPr>
      </w:pPr>
      <w:r>
        <w:rPr>
          <w:rFonts w:hint="eastAsia" w:ascii="仿宋" w:hAnsi="仿宋" w:eastAsia="仿宋"/>
          <w:color w:val="000000"/>
          <w:sz w:val="32"/>
          <w:szCs w:val="32"/>
        </w:rPr>
        <w:t>1.采取分组循环加超级循环赛制。第一阶段为分组循环赛，第二阶段为超级循环赛和排位循环赛。其中在分组循环赛中已经对阵过的队伍，在超级循环赛和排位循环赛中相互间不再进行比赛，而直接采用小组时两队对阵的比赛结果和比分。</w:t>
      </w:r>
    </w:p>
    <w:p>
      <w:pPr>
        <w:pStyle w:val="7"/>
        <w:snapToGrid w:val="0"/>
        <w:spacing w:before="0" w:beforeAutospacing="0" w:after="0" w:afterAutospacing="0" w:line="360" w:lineRule="auto"/>
        <w:ind w:firstLine="595" w:firstLineChars="186"/>
        <w:jc w:val="both"/>
        <w:rPr>
          <w:rFonts w:hint="eastAsia" w:ascii="仿宋" w:hAnsi="仿宋" w:eastAsia="仿宋"/>
          <w:color w:val="000000"/>
          <w:sz w:val="32"/>
          <w:szCs w:val="32"/>
        </w:rPr>
      </w:pPr>
      <w:r>
        <w:rPr>
          <w:rFonts w:hint="eastAsia" w:ascii="仿宋" w:hAnsi="仿宋" w:eastAsia="仿宋"/>
          <w:color w:val="000000"/>
          <w:sz w:val="32"/>
          <w:szCs w:val="32"/>
        </w:rPr>
        <w:t>2.第一阶段队伍依据全运会资格赛成绩排序，然后采用相邻名次（1和2、3和4……以此类推）抽签办法分成两组。排序规则为：</w:t>
      </w:r>
    </w:p>
    <w:p>
      <w:pPr>
        <w:pStyle w:val="7"/>
        <w:snapToGrid w:val="0"/>
        <w:spacing w:before="0" w:beforeAutospacing="0" w:after="0" w:afterAutospacing="0" w:line="360" w:lineRule="auto"/>
        <w:ind w:firstLine="595" w:firstLineChars="186"/>
        <w:jc w:val="both"/>
        <w:rPr>
          <w:rFonts w:hint="eastAsia" w:ascii="仿宋" w:hAnsi="仿宋" w:eastAsia="仿宋"/>
          <w:color w:val="000000"/>
          <w:sz w:val="32"/>
          <w:szCs w:val="32"/>
        </w:rPr>
      </w:pPr>
      <w:r>
        <w:rPr>
          <w:rFonts w:hint="eastAsia" w:ascii="仿宋" w:hAnsi="仿宋" w:eastAsia="仿宋"/>
          <w:color w:val="000000"/>
          <w:sz w:val="32"/>
          <w:szCs w:val="32"/>
        </w:rPr>
        <w:t>（1）如广东队参加积分赛且总积分排名进入前七，则按积分赛总积分前七名、落选赛冠军、未参加积分赛的东道主队伍（香港、澳门）依次排序；</w:t>
      </w:r>
    </w:p>
    <w:p>
      <w:pPr>
        <w:pStyle w:val="7"/>
        <w:snapToGrid w:val="0"/>
        <w:spacing w:before="0" w:beforeAutospacing="0" w:after="0" w:afterAutospacing="0" w:line="360" w:lineRule="auto"/>
        <w:ind w:firstLine="595" w:firstLineChars="186"/>
        <w:jc w:val="both"/>
        <w:rPr>
          <w:rFonts w:hint="eastAsia" w:ascii="仿宋" w:hAnsi="仿宋" w:eastAsia="仿宋"/>
          <w:color w:val="000000"/>
          <w:sz w:val="32"/>
          <w:szCs w:val="32"/>
        </w:rPr>
      </w:pPr>
      <w:r>
        <w:rPr>
          <w:rFonts w:hint="eastAsia" w:ascii="仿宋" w:hAnsi="仿宋" w:eastAsia="仿宋"/>
          <w:color w:val="000000"/>
          <w:sz w:val="32"/>
          <w:szCs w:val="32"/>
        </w:rPr>
        <w:t>（2）如广东队在积分赛的总积分排名未进入前七，则按积分赛总积分前六名、落选赛冠军、广东队、未参加积分赛的东道主队伍（香港、澳门）依次排序。</w:t>
      </w:r>
    </w:p>
    <w:p>
      <w:pPr>
        <w:pStyle w:val="7"/>
        <w:snapToGrid w:val="0"/>
        <w:spacing w:before="0" w:beforeAutospacing="0" w:after="0" w:afterAutospacing="0" w:line="360" w:lineRule="auto"/>
        <w:ind w:firstLine="595" w:firstLineChars="186"/>
        <w:jc w:val="both"/>
        <w:rPr>
          <w:rFonts w:hint="eastAsia" w:ascii="仿宋" w:hAnsi="仿宋" w:eastAsia="仿宋"/>
          <w:color w:val="000000"/>
          <w:sz w:val="32"/>
          <w:szCs w:val="32"/>
        </w:rPr>
      </w:pPr>
      <w:r>
        <w:rPr>
          <w:rFonts w:hint="eastAsia" w:ascii="仿宋" w:hAnsi="仿宋" w:eastAsia="仿宋"/>
          <w:color w:val="000000"/>
          <w:sz w:val="32"/>
          <w:szCs w:val="32"/>
        </w:rPr>
        <w:t>3.如有协议关系的队伍分组比赛时不能与相关省（市）队同在一组，须强制分组。如分组无法分开，则安排在单循环首轮比赛中进行。循环赛编排按“1”不动逆时针旋转原则进行编排。</w:t>
      </w:r>
    </w:p>
    <w:p>
      <w:pPr>
        <w:pStyle w:val="7"/>
        <w:snapToGrid w:val="0"/>
        <w:spacing w:before="0" w:beforeAutospacing="0" w:after="0" w:afterAutospacing="0" w:line="360" w:lineRule="auto"/>
        <w:ind w:firstLine="595" w:firstLineChars="186"/>
        <w:jc w:val="both"/>
        <w:rPr>
          <w:rFonts w:hint="eastAsia" w:ascii="仿宋" w:hAnsi="仿宋" w:eastAsia="仿宋"/>
          <w:color w:val="000000"/>
          <w:sz w:val="32"/>
          <w:szCs w:val="32"/>
        </w:rPr>
      </w:pPr>
      <w:r>
        <w:rPr>
          <w:rFonts w:hint="eastAsia" w:ascii="仿宋" w:hAnsi="仿宋" w:eastAsia="仿宋"/>
          <w:color w:val="000000"/>
          <w:sz w:val="32"/>
          <w:szCs w:val="32"/>
        </w:rPr>
        <w:t>4.获得分组循环赛各小组前2名队伍第二阶段进入超级循环赛。超级循环赛前两名进入冠亚军决赛，第三、四名进入季军争夺赛。分组循环赛其余名次队伍进入排位循环赛确定最终名次。</w:t>
      </w:r>
    </w:p>
    <w:p>
      <w:pPr>
        <w:pStyle w:val="7"/>
        <w:snapToGrid w:val="0"/>
        <w:spacing w:before="0" w:beforeAutospacing="0" w:after="0" w:afterAutospacing="0" w:line="560" w:lineRule="exact"/>
        <w:ind w:firstLine="595" w:firstLineChars="186"/>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5.如比赛中某队在三局领先15分(含)以上、四局领先10分(含)以上或五局领先7分(含)以上时，比赛即结束。</w:t>
      </w:r>
    </w:p>
    <w:p>
      <w:pPr>
        <w:pStyle w:val="7"/>
        <w:tabs>
          <w:tab w:val="left" w:pos="851"/>
        </w:tabs>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（三）适龄运动员使用规则（对资格赛和决赛均适用）</w:t>
      </w:r>
    </w:p>
    <w:p>
      <w:pPr>
        <w:pStyle w:val="7"/>
        <w:tabs>
          <w:tab w:val="left" w:pos="851"/>
        </w:tabs>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1.各队防守时除投手外适龄运动员比例须始终不小于50%（即4名及以上）。</w:t>
      </w:r>
    </w:p>
    <w:p>
      <w:pPr>
        <w:pStyle w:val="7"/>
        <w:tabs>
          <w:tab w:val="left" w:pos="851"/>
        </w:tabs>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2.每轮进攻棒次适龄运动员比例须始终不小于50%（即5名及以上），否则强制换上适龄运动员，由此导致的换人不受规则限制。</w:t>
      </w:r>
    </w:p>
    <w:p>
      <w:pPr>
        <w:pStyle w:val="7"/>
        <w:tabs>
          <w:tab w:val="left" w:pos="851"/>
        </w:tabs>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3.超龄投手每场比赛第1至7局投球球数合计不超过10个出局数，否则强制换上适龄投手，由此导致的换人不受规则限制。</w:t>
      </w:r>
    </w:p>
    <w:p>
      <w:pPr>
        <w:pStyle w:val="7"/>
        <w:tabs>
          <w:tab w:val="left" w:pos="851"/>
        </w:tabs>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4.如出现延长局，当场比赛第单数个延长局（第一个延长局即第8局，第三个延长局即第10局……以此类推）仅限使用适龄投手，其它延长局可使用超龄投手不受投球限制；由此导致的换人不受规则限制。</w:t>
      </w:r>
    </w:p>
    <w:p>
      <w:pPr>
        <w:pStyle w:val="7"/>
        <w:tabs>
          <w:tab w:val="left" w:pos="851"/>
        </w:tabs>
        <w:snapToGrid w:val="0"/>
        <w:spacing w:before="0" w:beforeAutospacing="0" w:after="0" w:afterAutospacing="0" w:line="560" w:lineRule="exact"/>
        <w:ind w:firstLine="640" w:firstLineChars="200"/>
        <w:jc w:val="both"/>
        <w:rPr>
          <w:rFonts w:hint="eastAsia" w:ascii="仿宋" w:hAnsi="仿宋" w:eastAsia="仿宋" w:cs="仿宋"/>
          <w:color w:val="000000" w:themeColor="text1"/>
          <w:spacing w:val="-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pacing w:val="-1"/>
          <w:sz w:val="32"/>
          <w:szCs w:val="32"/>
          <w14:textFill>
            <w14:solidFill>
              <w14:schemeClr w14:val="tx1"/>
            </w14:solidFill>
          </w14:textFill>
        </w:rPr>
        <w:t>若</w:t>
      </w:r>
      <w:r>
        <w:rPr>
          <w:rFonts w:hint="eastAsia" w:ascii="仿宋" w:hAnsi="仿宋" w:eastAsia="仿宋" w:cs="仿宋"/>
          <w:color w:val="000000" w:themeColor="text1"/>
          <w:spacing w:val="-3"/>
          <w:sz w:val="32"/>
          <w:szCs w:val="32"/>
          <w14:textFill>
            <w14:solidFill>
              <w14:schemeClr w14:val="tx1"/>
            </w14:solidFill>
          </w14:textFill>
        </w:rPr>
        <w:t>1</w:t>
      </w:r>
      <w:r>
        <w:rPr>
          <w:rFonts w:hint="eastAsia" w:ascii="仿宋" w:hAnsi="仿宋" w:eastAsia="仿宋" w:cs="仿宋"/>
          <w:color w:val="000000" w:themeColor="text1"/>
          <w:spacing w:val="-1"/>
          <w:sz w:val="32"/>
          <w:szCs w:val="32"/>
          <w14:textFill>
            <w14:solidFill>
              <w14:schemeClr w14:val="tx1"/>
            </w14:solidFill>
          </w14:textFill>
        </w:rPr>
        <w:t>队已无可用之替补球员，但此时有超龄球员生病、受伤、或被判驱逐出场，可由不在场上、也不能再进场的</w:t>
      </w:r>
      <w:r>
        <w:rPr>
          <w:rFonts w:hint="eastAsia" w:ascii="仿宋" w:hAnsi="仿宋" w:eastAsia="仿宋" w:cs="仿宋"/>
          <w:color w:val="000000" w:themeColor="text1"/>
          <w:sz w:val="32"/>
          <w:szCs w:val="32"/>
          <w14:textFill>
            <w14:solidFill>
              <w14:schemeClr w14:val="tx1"/>
            </w14:solidFill>
          </w14:textFill>
        </w:rPr>
        <w:t>任意一位适龄队员替换上场，此换人不受规则限制</w:t>
      </w:r>
      <w:r>
        <w:rPr>
          <w:rFonts w:hint="eastAsia" w:ascii="仿宋" w:hAnsi="仿宋" w:eastAsia="仿宋" w:cs="仿宋"/>
          <w:color w:val="000000" w:themeColor="text1"/>
          <w:spacing w:val="-1"/>
          <w:sz w:val="32"/>
          <w:szCs w:val="32"/>
          <w14:textFill>
            <w14:solidFill>
              <w14:schemeClr w14:val="tx1"/>
            </w14:solidFill>
          </w14:textFill>
        </w:rPr>
        <w:t>。</w:t>
      </w:r>
    </w:p>
    <w:p>
      <w:pPr>
        <w:pStyle w:val="7"/>
        <w:tabs>
          <w:tab w:val="left" w:pos="851"/>
        </w:tabs>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6.如违反上述第1至4条规则，则按弃权处理。</w:t>
      </w:r>
    </w:p>
    <w:p>
      <w:pPr>
        <w:pStyle w:val="7"/>
        <w:tabs>
          <w:tab w:val="left" w:pos="851"/>
        </w:tabs>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（四）适龄运动员无论是否开场队员，均可使用“再进场”规则。</w:t>
      </w:r>
    </w:p>
    <w:p>
      <w:pPr>
        <w:pStyle w:val="7"/>
        <w:tabs>
          <w:tab w:val="left" w:pos="851"/>
        </w:tabs>
        <w:snapToGrid w:val="0"/>
        <w:spacing w:before="0" w:beforeAutospacing="0" w:after="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（五）决赛阶段循环赛遇积分相同时的名次确定办法</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循环赛中如遇积分相同，则依次按照以下办法确定比赛名次：</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1.根据积分相同队伍间比赛的胜场数确定名次，胜场多者名次列前。 </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2.根据积分相同队伍间比赛的得失分率差（英文简称TQB）确定名次，高者名次列前；如得失分率差相同，则相同者之间比赛的胜者名次列前。</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TQB计算公式如下：</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TQB=（本队得分</w:t>
      </w:r>
      <w:r>
        <w:rPr>
          <w:rFonts w:hint="eastAsia" w:ascii="Segoe UI Emoji" w:hAnsi="Segoe UI Emoji" w:eastAsia="仿宋" w:cs="Segoe UI Emoji"/>
          <w:color w:val="000000" w:themeColor="text1"/>
          <w:sz w:val="32"/>
          <w:szCs w:val="32"/>
          <w14:textFill>
            <w14:solidFill>
              <w14:schemeClr w14:val="tx1"/>
            </w14:solidFill>
          </w14:textFill>
        </w:rPr>
        <w:t>÷本队</w:t>
      </w:r>
      <w:r>
        <w:rPr>
          <w:rFonts w:hint="eastAsia" w:ascii="仿宋" w:hAnsi="仿宋" w:eastAsia="仿宋" w:cs="仿宋"/>
          <w:color w:val="000000" w:themeColor="text1"/>
          <w:sz w:val="32"/>
          <w:szCs w:val="32"/>
          <w14:textFill>
            <w14:solidFill>
              <w14:schemeClr w14:val="tx1"/>
            </w14:solidFill>
          </w14:textFill>
        </w:rPr>
        <w:t>进攻局数）-（本队失分</w:t>
      </w:r>
      <w:r>
        <w:rPr>
          <w:rFonts w:hint="eastAsia" w:ascii="Segoe UI Emoji" w:hAnsi="Segoe UI Emoji" w:eastAsia="仿宋" w:cs="Segoe UI Emoji"/>
          <w:color w:val="000000" w:themeColor="text1"/>
          <w:sz w:val="32"/>
          <w:szCs w:val="32"/>
          <w14:textFill>
            <w14:solidFill>
              <w14:schemeClr w14:val="tx1"/>
            </w14:solidFill>
          </w14:textFill>
        </w:rPr>
        <w:t>÷本队</w:t>
      </w:r>
      <w:r>
        <w:rPr>
          <w:rFonts w:hint="eastAsia" w:ascii="仿宋" w:hAnsi="仿宋" w:eastAsia="仿宋" w:cs="仿宋"/>
          <w:color w:val="000000" w:themeColor="text1"/>
          <w:sz w:val="32"/>
          <w:szCs w:val="32"/>
          <w14:textFill>
            <w14:solidFill>
              <w14:schemeClr w14:val="tx1"/>
            </w14:solidFill>
          </w14:textFill>
        </w:rPr>
        <w:t>防守局数）</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3.根据积分相同队伍间比赛的责任得失分率差（ER-TQB）确定排名，高者列前。</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ER-TQB计算公式如下：</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ER-TQB=（本队得分中对手的责任失分</w:t>
      </w:r>
      <w:r>
        <w:rPr>
          <w:rFonts w:hint="eastAsia" w:ascii="Segoe UI Emoji" w:hAnsi="Segoe UI Emoji" w:eastAsia="仿宋" w:cs="Segoe UI Emoji"/>
          <w:color w:val="000000" w:themeColor="text1"/>
          <w:sz w:val="32"/>
          <w:szCs w:val="32"/>
          <w14:textFill>
            <w14:solidFill>
              <w14:schemeClr w14:val="tx1"/>
            </w14:solidFill>
          </w14:textFill>
        </w:rPr>
        <w:t>÷本队</w:t>
      </w:r>
      <w:r>
        <w:rPr>
          <w:rFonts w:hint="eastAsia" w:ascii="仿宋" w:hAnsi="仿宋" w:eastAsia="仿宋" w:cs="仿宋"/>
          <w:color w:val="000000" w:themeColor="text1"/>
          <w:sz w:val="32"/>
          <w:szCs w:val="32"/>
          <w14:textFill>
            <w14:solidFill>
              <w14:schemeClr w14:val="tx1"/>
            </w14:solidFill>
          </w14:textFill>
        </w:rPr>
        <w:t>进攻局数）-（本队失分中己方的责任失分</w:t>
      </w:r>
      <w:r>
        <w:rPr>
          <w:rFonts w:hint="eastAsia" w:ascii="Segoe UI Emoji" w:hAnsi="Segoe UI Emoji" w:eastAsia="仿宋" w:cs="Segoe UI Emoji"/>
          <w:color w:val="000000" w:themeColor="text1"/>
          <w:sz w:val="32"/>
          <w:szCs w:val="32"/>
          <w14:textFill>
            <w14:solidFill>
              <w14:schemeClr w14:val="tx1"/>
            </w14:solidFill>
          </w14:textFill>
        </w:rPr>
        <w:t>÷本队</w:t>
      </w:r>
      <w:r>
        <w:rPr>
          <w:rFonts w:hint="eastAsia" w:ascii="仿宋" w:hAnsi="仿宋" w:eastAsia="仿宋" w:cs="仿宋"/>
          <w:color w:val="000000" w:themeColor="text1"/>
          <w:sz w:val="32"/>
          <w:szCs w:val="32"/>
          <w14:textFill>
            <w14:solidFill>
              <w14:schemeClr w14:val="tx1"/>
            </w14:solidFill>
          </w14:textFill>
        </w:rPr>
        <w:t>防守局数）</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4.根据积分相同队伍间比赛的安打率高低确定排名，高者列前。</w:t>
      </w:r>
    </w:p>
    <w:p>
      <w:pPr>
        <w:pStyle w:val="7"/>
        <w:keepNext w:val="0"/>
        <w:keepLines w:val="0"/>
        <w:pageBreakBefore w:val="0"/>
        <w:widowControl/>
        <w:tabs>
          <w:tab w:val="left" w:pos="851"/>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5.掷硬币决定名次。</w:t>
      </w:r>
    </w:p>
    <w:p>
      <w:pPr>
        <w:pStyle w:val="7"/>
        <w:tabs>
          <w:tab w:val="left" w:pos="851"/>
        </w:tabs>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（六）比赛中如因天气等特殊情况，不能按原计划完成全部赛程的，按规定调整竞赛办法和名次产生办法。</w:t>
      </w:r>
    </w:p>
    <w:p>
      <w:pPr>
        <w:pStyle w:val="7"/>
        <w:tabs>
          <w:tab w:val="left" w:pos="851"/>
        </w:tabs>
        <w:snapToGrid w:val="0"/>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比赛执行由世界棒垒球联合会颁布、中国垒球协会审核的《2022-2025垒球竞赛规则》。比赛用球采用符合国际标准的12英寸比赛垒球。比赛用球棒须为世界棒垒球联合会或中国垒球协会认证目录内的，并符合弹性测试标准的球棒。</w:t>
      </w:r>
    </w:p>
    <w:p>
      <w:pPr>
        <w:pStyle w:val="7"/>
        <w:tabs>
          <w:tab w:val="left" w:pos="851"/>
        </w:tabs>
        <w:snapToGrid w:val="0"/>
        <w:spacing w:before="0" w:beforeAutospacing="0" w:after="0" w:afterAutospacing="0"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五、奖励办法</w:t>
      </w: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决赛阶段比赛的名次和奖励执行《中华人民共和国第十五届运动会竞赛规程总则》（体竞字〔2023〕1号）第六条规定。</w:t>
      </w:r>
    </w:p>
    <w:p>
      <w:pPr>
        <w:pStyle w:val="7"/>
        <w:snapToGrid w:val="0"/>
        <w:spacing w:before="0" w:beforeAutospacing="0" w:after="0" w:afterAutospacing="0" w:line="560" w:lineRule="exact"/>
        <w:ind w:firstLine="600" w:firstLineChars="200"/>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六、报名和报到</w:t>
      </w: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（一）资格赛报名和报到通知另发；</w:t>
      </w: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（二）决赛</w:t>
      </w:r>
      <w:r>
        <w:rPr>
          <w:rFonts w:hint="eastAsia" w:ascii="仿宋" w:hAnsi="仿宋" w:eastAsia="仿宋" w:cs="仿宋"/>
          <w:color w:val="000000" w:themeColor="text1"/>
          <w:kern w:val="0"/>
          <w:sz w:val="32"/>
          <w:szCs w:val="32"/>
          <w:lang w:eastAsia="zh-CN"/>
          <w14:textFill>
            <w14:solidFill>
              <w14:schemeClr w14:val="tx1"/>
            </w14:solidFill>
          </w14:textFill>
        </w:rPr>
        <w:t>阶段</w:t>
      </w:r>
      <w:r>
        <w:rPr>
          <w:rFonts w:hint="eastAsia" w:ascii="仿宋" w:hAnsi="仿宋" w:eastAsia="仿宋" w:cs="仿宋"/>
          <w:color w:val="000000" w:themeColor="text1"/>
          <w:kern w:val="0"/>
          <w:sz w:val="32"/>
          <w:szCs w:val="32"/>
          <w14:textFill>
            <w14:solidFill>
              <w14:schemeClr w14:val="tx1"/>
            </w14:solidFill>
          </w14:textFill>
        </w:rPr>
        <w:t>报名和报到执行《中华人民共和国第十五届运动会竞赛规程总则》（体竞字〔2023〕1号）第三条第（二）、（四）项规定。</w:t>
      </w:r>
    </w:p>
    <w:p>
      <w:pPr>
        <w:pStyle w:val="7"/>
        <w:snapToGrid w:val="0"/>
        <w:spacing w:before="0" w:beforeAutospacing="0" w:after="0" w:afterAutospacing="0" w:line="560" w:lineRule="exact"/>
        <w:ind w:firstLine="600" w:firstLineChars="200"/>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七、技术官员</w:t>
      </w: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执行《中华人民共和国第十五届运动会竞赛规程总则》（体竞字〔2023〕1号）第九条规定。</w:t>
      </w:r>
    </w:p>
    <w:p>
      <w:pPr>
        <w:pStyle w:val="7"/>
        <w:snapToGrid w:val="0"/>
        <w:spacing w:before="0" w:beforeAutospacing="0" w:after="0" w:afterAutospacing="0" w:line="560" w:lineRule="exact"/>
        <w:ind w:firstLine="600" w:firstLineChars="200"/>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八、技术申诉</w:t>
      </w: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按中国垒球协会有关规定执行。</w:t>
      </w: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附件：1.第十五届全国运动会垒球项目体能测试与</w:t>
      </w: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评分方法</w:t>
      </w:r>
    </w:p>
    <w:p>
      <w:pPr>
        <w:widowControl/>
        <w:spacing w:line="560" w:lineRule="exact"/>
        <w:ind w:firstLine="636" w:firstLineChars="19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2.第十五届全国运动会垒球项目积分规则</w:t>
      </w:r>
    </w:p>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br w:type="page"/>
      </w:r>
    </w:p>
    <w:p>
      <w:pPr>
        <w:spacing w:line="360" w:lineRule="auto"/>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附件1</w:t>
      </w:r>
    </w:p>
    <w:p>
      <w:pPr>
        <w:spacing w:line="360" w:lineRule="auto"/>
        <w:jc w:val="left"/>
        <w:rPr>
          <w:rFonts w:hint="eastAsia" w:ascii="黑体" w:hAnsi="黑体" w:eastAsia="黑体"/>
          <w:bCs/>
          <w:color w:val="000000" w:themeColor="text1"/>
          <w:sz w:val="18"/>
          <w:szCs w:val="18"/>
          <w14:textFill>
            <w14:solidFill>
              <w14:schemeClr w14:val="tx1"/>
            </w14:solidFill>
          </w14:textFill>
        </w:rPr>
      </w:pPr>
    </w:p>
    <w:p>
      <w:pPr>
        <w:spacing w:line="360" w:lineRule="auto"/>
        <w:jc w:val="center"/>
        <w:rPr>
          <w:rFonts w:hint="eastAsia" w:ascii="方正小标宋简体" w:eastAsia="方正小标宋简体" w:hAnsiTheme="majorEastAsia"/>
          <w:bCs/>
          <w:color w:val="000000" w:themeColor="text1"/>
          <w:sz w:val="36"/>
          <w:szCs w:val="36"/>
          <w14:textFill>
            <w14:solidFill>
              <w14:schemeClr w14:val="tx1"/>
            </w14:solidFill>
          </w14:textFill>
        </w:rPr>
      </w:pPr>
      <w:r>
        <w:rPr>
          <w:rFonts w:hint="eastAsia" w:ascii="方正小标宋简体" w:eastAsia="方正小标宋简体" w:hAnsiTheme="majorEastAsia"/>
          <w:bCs/>
          <w:color w:val="000000" w:themeColor="text1"/>
          <w:sz w:val="36"/>
          <w:szCs w:val="36"/>
          <w14:textFill>
            <w14:solidFill>
              <w14:schemeClr w14:val="tx1"/>
            </w14:solidFill>
          </w14:textFill>
        </w:rPr>
        <w:t>第十五届全国运动会垒球项目体能测试与评分方法</w:t>
      </w:r>
    </w:p>
    <w:p>
      <w:pPr>
        <w:spacing w:line="360" w:lineRule="auto"/>
        <w:rPr>
          <w:rFonts w:hint="eastAsia" w:ascii="黑体" w:hAnsi="黑体" w:eastAsia="黑体"/>
          <w:color w:val="000000" w:themeColor="text1"/>
          <w:sz w:val="18"/>
          <w:szCs w:val="18"/>
          <w14:textFill>
            <w14:solidFill>
              <w14:schemeClr w14:val="tx1"/>
            </w14:solidFill>
          </w14:textFill>
        </w:rPr>
      </w:pPr>
    </w:p>
    <w:p>
      <w:pPr>
        <w:spacing w:line="360" w:lineRule="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一、测试项目</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（一）基础体能</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全员（8项）：腹肌耐力（秒）、背肌耐力（秒）、立定跳远（厘米）、5-10-5灵敏测试（秒）、3000米</w:t>
      </w:r>
      <w:r>
        <w:rPr>
          <w:rFonts w:hint="eastAsia" w:ascii="仿宋" w:hAnsi="仿宋" w:eastAsia="仿宋"/>
          <w:color w:val="000000" w:themeColor="text1"/>
          <w:sz w:val="32"/>
          <w:szCs w:val="32"/>
          <w:lang w:eastAsia="zh-CN"/>
          <w14:textFill>
            <w14:solidFill>
              <w14:schemeClr w14:val="tx1"/>
            </w14:solidFill>
          </w14:textFill>
        </w:rPr>
        <w:t>跑</w:t>
      </w:r>
      <w:r>
        <w:rPr>
          <w:rFonts w:hint="eastAsia" w:ascii="仿宋" w:hAnsi="仿宋" w:eastAsia="仿宋"/>
          <w:color w:val="000000" w:themeColor="text1"/>
          <w:sz w:val="32"/>
          <w:szCs w:val="32"/>
          <w14:textFill>
            <w14:solidFill>
              <w14:schemeClr w14:val="tx1"/>
            </w14:solidFill>
          </w14:textFill>
        </w:rPr>
        <w:t>（分</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秒）、单手握力（公斤）、旋转爆发力（公里/小时）、2</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码冲刺（秒）</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（二）专项体能</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投手（2项）：掷远（米）、投球测速（公里/小时）。</w:t>
      </w:r>
    </w:p>
    <w:p>
      <w:pPr>
        <w:spacing w:line="360" w:lineRule="auto"/>
        <w:rPr>
          <w:rFonts w:hint="eastAsia" w:ascii="仿宋" w:hAnsi="仿宋" w:eastAsia="仿宋"/>
          <w:color w:val="000000" w:themeColor="text1"/>
          <w:sz w:val="32"/>
          <w:szCs w:val="32"/>
          <w14:textFill>
            <w14:solidFill>
              <w14:schemeClr w14:val="tx1"/>
            </w14:solidFill>
          </w14:textFill>
        </w:rPr>
        <w:sectPr>
          <w:footerReference r:id="rId5" w:type="default"/>
          <w:pgSz w:w="11906" w:h="16838"/>
          <w:pgMar w:top="1440" w:right="1800" w:bottom="1440" w:left="1800" w:header="851" w:footer="992" w:gutter="0"/>
          <w:cols w:space="720" w:num="1"/>
          <w:docGrid w:type="lines" w:linePitch="312" w:charSpace="0"/>
        </w:sectPr>
      </w:pPr>
      <w:r>
        <w:rPr>
          <w:rFonts w:hint="eastAsia" w:ascii="仿宋" w:hAnsi="仿宋" w:eastAsia="仿宋"/>
          <w:color w:val="000000" w:themeColor="text1"/>
          <w:sz w:val="32"/>
          <w:szCs w:val="32"/>
          <w14:textFill>
            <w14:solidFill>
              <w14:schemeClr w14:val="tx1"/>
            </w14:solidFill>
          </w14:textFill>
        </w:rPr>
        <w:t>场员（6项）：二垒</w:t>
      </w:r>
      <w:r>
        <w:rPr>
          <w:rFonts w:hint="eastAsia" w:ascii="仿宋" w:hAnsi="仿宋" w:eastAsia="仿宋"/>
          <w:color w:val="000000" w:themeColor="text1"/>
          <w:sz w:val="32"/>
          <w:szCs w:val="32"/>
          <w:lang w:eastAsia="zh-CN"/>
          <w14:textFill>
            <w14:solidFill>
              <w14:schemeClr w14:val="tx1"/>
            </w14:solidFill>
          </w14:textFill>
        </w:rPr>
        <w:t>至本垒</w:t>
      </w:r>
      <w:r>
        <w:rPr>
          <w:rFonts w:hint="eastAsia" w:ascii="仿宋" w:hAnsi="仿宋" w:eastAsia="仿宋"/>
          <w:color w:val="000000" w:themeColor="text1"/>
          <w:sz w:val="32"/>
          <w:szCs w:val="32"/>
          <w14:textFill>
            <w14:solidFill>
              <w14:schemeClr w14:val="tx1"/>
            </w14:solidFill>
          </w14:textFill>
        </w:rPr>
        <w:t>跑（秒）、掷远（米）、上手球速（公里/小时）、立柱打远（米）、挥棒速度（公里/小时）、击球速度（公里/小时）</w:t>
      </w:r>
    </w:p>
    <w:p>
      <w:pPr>
        <w:spacing w:line="360" w:lineRule="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二、评分标准</w:t>
      </w:r>
    </w:p>
    <w:tbl>
      <w:tblPr>
        <w:tblStyle w:val="9"/>
        <w:tblW w:w="15558" w:type="dxa"/>
        <w:jc w:val="center"/>
        <w:tblLayout w:type="autofit"/>
        <w:tblCellMar>
          <w:top w:w="0" w:type="dxa"/>
          <w:left w:w="108" w:type="dxa"/>
          <w:bottom w:w="0" w:type="dxa"/>
          <w:right w:w="108" w:type="dxa"/>
        </w:tblCellMar>
      </w:tblPr>
      <w:tblGrid>
        <w:gridCol w:w="562"/>
        <w:gridCol w:w="346"/>
        <w:gridCol w:w="505"/>
        <w:gridCol w:w="346"/>
        <w:gridCol w:w="504"/>
        <w:gridCol w:w="346"/>
        <w:gridCol w:w="647"/>
        <w:gridCol w:w="346"/>
        <w:gridCol w:w="1006"/>
        <w:gridCol w:w="346"/>
        <w:gridCol w:w="683"/>
        <w:gridCol w:w="346"/>
        <w:gridCol w:w="509"/>
        <w:gridCol w:w="346"/>
        <w:gridCol w:w="925"/>
        <w:gridCol w:w="346"/>
        <w:gridCol w:w="869"/>
        <w:gridCol w:w="346"/>
        <w:gridCol w:w="803"/>
        <w:gridCol w:w="346"/>
        <w:gridCol w:w="671"/>
        <w:gridCol w:w="346"/>
        <w:gridCol w:w="537"/>
        <w:gridCol w:w="346"/>
        <w:gridCol w:w="801"/>
        <w:gridCol w:w="346"/>
        <w:gridCol w:w="671"/>
        <w:gridCol w:w="346"/>
        <w:gridCol w:w="738"/>
        <w:gridCol w:w="346"/>
      </w:tblGrid>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ind w:left="1" w:leftChars="-45" w:right="-90" w:rightChars="-43" w:hanging="95" w:hangingChars="73"/>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腹肌耐力</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505" w:type="dxa"/>
            <w:tcBorders>
              <w:top w:val="single" w:color="auto" w:sz="4" w:space="0"/>
              <w:left w:val="nil"/>
              <w:bottom w:val="single" w:color="auto" w:sz="4" w:space="0"/>
              <w:right w:val="single" w:color="auto" w:sz="4" w:space="0"/>
            </w:tcBorders>
            <w:shd w:val="clear" w:color="auto" w:fill="auto"/>
            <w:vAlign w:val="center"/>
          </w:tcPr>
          <w:p>
            <w:pPr>
              <w:widowControl/>
              <w:snapToGrid w:val="0"/>
              <w:ind w:left="-3" w:leftChars="-45" w:right="-107" w:rightChars="-51" w:hanging="91" w:hangingChars="70"/>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背肌耐力</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504" w:type="dxa"/>
            <w:tcBorders>
              <w:top w:val="single" w:color="auto" w:sz="4" w:space="0"/>
              <w:left w:val="nil"/>
              <w:bottom w:val="single" w:color="auto" w:sz="4" w:space="0"/>
              <w:right w:val="single" w:color="auto" w:sz="4" w:space="0"/>
            </w:tcBorders>
            <w:shd w:val="clear" w:color="auto" w:fill="auto"/>
            <w:vAlign w:val="center"/>
          </w:tcPr>
          <w:p>
            <w:pPr>
              <w:widowControl/>
              <w:snapToGrid w:val="0"/>
              <w:ind w:leftChars="-45" w:right="-103" w:rightChars="-49" w:hanging="93" w:hangingChars="72"/>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立定跳远</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647" w:type="dxa"/>
            <w:tcBorders>
              <w:top w:val="single" w:color="auto" w:sz="4" w:space="0"/>
              <w:left w:val="nil"/>
              <w:bottom w:val="single" w:color="auto" w:sz="4" w:space="0"/>
              <w:right w:val="single" w:color="auto" w:sz="4" w:space="0"/>
            </w:tcBorders>
            <w:shd w:val="clear" w:color="auto" w:fill="auto"/>
            <w:vAlign w:val="center"/>
          </w:tcPr>
          <w:p>
            <w:pPr>
              <w:widowControl/>
              <w:snapToGrid w:val="0"/>
              <w:ind w:left="-1" w:leftChars="-52" w:right="-107" w:rightChars="-51" w:hanging="108" w:hangingChars="83"/>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5-10-5</w:t>
            </w:r>
          </w:p>
        </w:tc>
        <w:tc>
          <w:tcPr>
            <w:tcW w:w="283"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1006" w:type="dxa"/>
            <w:tcBorders>
              <w:top w:val="single" w:color="auto" w:sz="4" w:space="0"/>
              <w:left w:val="nil"/>
              <w:bottom w:val="single" w:color="auto" w:sz="4" w:space="0"/>
              <w:right w:val="single" w:color="auto" w:sz="4" w:space="0"/>
            </w:tcBorders>
            <w:shd w:val="clear" w:color="auto" w:fill="auto"/>
            <w:vAlign w:val="center"/>
          </w:tcPr>
          <w:p>
            <w:pPr>
              <w:widowControl/>
              <w:snapToGrid w:val="0"/>
              <w:ind w:leftChars="-46" w:right="-113" w:rightChars="-54" w:hanging="96" w:hangingChars="74"/>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3000米</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683" w:type="dxa"/>
            <w:tcBorders>
              <w:top w:val="single" w:color="auto" w:sz="4" w:space="0"/>
              <w:left w:val="nil"/>
              <w:bottom w:val="single" w:color="auto" w:sz="4" w:space="0"/>
              <w:right w:val="single" w:color="auto" w:sz="4" w:space="0"/>
            </w:tcBorders>
            <w:shd w:val="clear" w:color="auto" w:fill="auto"/>
            <w:vAlign w:val="center"/>
          </w:tcPr>
          <w:p>
            <w:pPr>
              <w:widowControl/>
              <w:snapToGrid w:val="0"/>
              <w:ind w:leftChars="-49" w:right="-126" w:rightChars="-60" w:hanging="103" w:hangingChars="79"/>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单手握力</w:t>
            </w:r>
            <w:r>
              <w:rPr>
                <w:rFonts w:hint="eastAsia" w:ascii="仿宋" w:hAnsi="仿宋" w:eastAsia="仿宋" w:cs="宋体"/>
                <w:b/>
                <w:bCs/>
                <w:color w:val="000000"/>
                <w:kern w:val="0"/>
                <w:sz w:val="13"/>
                <w:szCs w:val="13"/>
              </w:rPr>
              <w:br w:type="textWrapping"/>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509" w:type="dxa"/>
            <w:tcBorders>
              <w:top w:val="single" w:color="auto" w:sz="4" w:space="0"/>
              <w:left w:val="nil"/>
              <w:bottom w:val="single" w:color="auto" w:sz="4" w:space="0"/>
              <w:right w:val="single" w:color="auto" w:sz="4" w:space="0"/>
            </w:tcBorders>
            <w:shd w:val="clear" w:color="auto" w:fill="auto"/>
            <w:vAlign w:val="center"/>
          </w:tcPr>
          <w:p>
            <w:pPr>
              <w:widowControl/>
              <w:snapToGrid w:val="0"/>
              <w:ind w:leftChars="-47" w:right="-109" w:rightChars="-52" w:hanging="99" w:hangingChars="76"/>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旋转爆发力</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20码冲刺</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869"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二垒跑</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803"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掷远</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67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投球测速</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537" w:type="dxa"/>
            <w:tcBorders>
              <w:top w:val="single" w:color="auto" w:sz="4" w:space="0"/>
              <w:left w:val="nil"/>
              <w:bottom w:val="single" w:color="auto" w:sz="4" w:space="0"/>
              <w:right w:val="single" w:color="auto" w:sz="4" w:space="0"/>
            </w:tcBorders>
            <w:shd w:val="clear" w:color="auto" w:fill="auto"/>
            <w:vAlign w:val="center"/>
          </w:tcPr>
          <w:p>
            <w:pPr>
              <w:widowControl/>
              <w:snapToGrid w:val="0"/>
              <w:ind w:leftChars="-33" w:hanging="69" w:hangingChars="53"/>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上手球速</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80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立柱打远</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67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挥棒速度</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c>
          <w:tcPr>
            <w:tcW w:w="738"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 w:hAnsi="仿宋" w:eastAsia="仿宋" w:cs="宋体"/>
                <w:b/>
                <w:bCs/>
                <w:color w:val="000000"/>
                <w:kern w:val="0"/>
                <w:sz w:val="13"/>
                <w:szCs w:val="13"/>
              </w:rPr>
            </w:pPr>
            <w:r>
              <w:rPr>
                <w:rFonts w:hint="eastAsia" w:ascii="仿宋" w:hAnsi="仿宋" w:eastAsia="仿宋" w:cs="宋体"/>
                <w:b/>
                <w:bCs/>
                <w:color w:val="000000"/>
                <w:kern w:val="0"/>
                <w:sz w:val="13"/>
                <w:szCs w:val="13"/>
              </w:rPr>
              <w:t>击球速度</w:t>
            </w:r>
          </w:p>
        </w:tc>
        <w:tc>
          <w:tcPr>
            <w:tcW w:w="34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仿宋" w:hAnsi="仿宋" w:eastAsia="仿宋" w:cs="宋体"/>
                <w:color w:val="000000"/>
                <w:kern w:val="0"/>
                <w:sz w:val="13"/>
                <w:szCs w:val="13"/>
              </w:rPr>
            </w:pPr>
            <w:r>
              <w:rPr>
                <w:rFonts w:hint="eastAsia" w:ascii="仿宋" w:hAnsi="仿宋" w:eastAsia="仿宋" w:cs="宋体"/>
                <w:color w:val="000000"/>
                <w:kern w:val="0"/>
                <w:sz w:val="13"/>
                <w:szCs w:val="13"/>
              </w:rPr>
              <w:t>分数</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≥140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≥156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≥241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≤4.40</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≥46.2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≥43</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925"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≤2.88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≤5.70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≥60.1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≥80.1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≥129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130-139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146-155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231-240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4.41-4.55</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w:t>
            </w:r>
            <w:r>
              <w:rPr>
                <w:rFonts w:ascii="仿宋_GB2312" w:hAnsi="Courier New" w:eastAsia="仿宋_GB2312" w:cs="Courier New"/>
                <w:color w:val="000000"/>
                <w:sz w:val="13"/>
                <w:szCs w:val="13"/>
              </w:rPr>
              <w:t>1</w:t>
            </w:r>
            <w:r>
              <w:rPr>
                <w:rFonts w:hint="eastAsia" w:ascii="仿宋_GB2312" w:hAnsi="Courier New" w:eastAsia="仿宋_GB2312" w:cs="Courier New"/>
                <w:color w:val="000000"/>
                <w:sz w:val="13"/>
                <w:szCs w:val="13"/>
              </w:rPr>
              <w:t>-12</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43.5-46.1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41-42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925"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2.89-2.95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5.71-5.85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56.1-60.0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102-104</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99-100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74.1-80.0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125-128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117-118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120-129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136-145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221-230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4.56-4.70</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12</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w:t>
            </w:r>
            <w:r>
              <w:rPr>
                <w:rFonts w:ascii="仿宋_GB2312" w:hAnsi="Courier New" w:eastAsia="仿宋_GB2312" w:cs="Courier New"/>
                <w:color w:val="000000"/>
                <w:sz w:val="13"/>
                <w:szCs w:val="13"/>
              </w:rPr>
              <w:t>1</w:t>
            </w:r>
            <w:r>
              <w:rPr>
                <w:rFonts w:hint="eastAsia" w:ascii="仿宋_GB2312" w:hAnsi="Courier New" w:eastAsia="仿宋_GB2312" w:cs="Courier New"/>
                <w:color w:val="000000"/>
                <w:sz w:val="13"/>
                <w:szCs w:val="13"/>
              </w:rPr>
              <w:t>-13</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41.8-43.4</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39-40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925" w:type="dxa"/>
            <w:tcBorders>
              <w:top w:val="nil"/>
              <w:left w:val="nil"/>
              <w:bottom w:val="nil"/>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2.96-3.01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5.86-6.00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52.1-56.0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99-101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97-98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68.1-74.0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122-124</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115-116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110-119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126-135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211-220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4.71-4.85</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13</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w:t>
            </w:r>
            <w:r>
              <w:rPr>
                <w:rFonts w:ascii="仿宋_GB2312" w:hAnsi="Courier New" w:eastAsia="仿宋_GB2312" w:cs="Courier New"/>
                <w:color w:val="000000"/>
                <w:sz w:val="13"/>
                <w:szCs w:val="13"/>
              </w:rPr>
              <w:t>1</w:t>
            </w:r>
            <w:r>
              <w:rPr>
                <w:rFonts w:hint="eastAsia" w:ascii="仿宋_GB2312" w:hAnsi="Courier New" w:eastAsia="仿宋_GB2312" w:cs="Courier New"/>
                <w:color w:val="000000"/>
                <w:sz w:val="13"/>
                <w:szCs w:val="13"/>
              </w:rPr>
              <w:t>-14</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38.8-41.7</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37-38</w:t>
            </w:r>
          </w:p>
        </w:tc>
        <w:tc>
          <w:tcPr>
            <w:tcW w:w="346" w:type="dxa"/>
            <w:tcBorders>
              <w:top w:val="nil"/>
              <w:left w:val="nil"/>
              <w:bottom w:val="single" w:color="auto" w:sz="4" w:space="0"/>
              <w:right w:val="nil"/>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92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仿宋_GB2312" w:hAnsi="仿宋" w:eastAsia="仿宋_GB2312" w:cs="宋体"/>
                <w:color w:val="000000"/>
                <w:sz w:val="13"/>
                <w:szCs w:val="13"/>
              </w:rPr>
            </w:pPr>
            <w:r>
              <w:rPr>
                <w:rFonts w:hint="eastAsia" w:ascii="仿宋_GB2312" w:hAnsi="仿宋" w:eastAsia="仿宋_GB2312"/>
                <w:color w:val="000000"/>
                <w:sz w:val="13"/>
                <w:szCs w:val="13"/>
              </w:rPr>
              <w:t>3.02-3.10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6.01-6.15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48.1-52.0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96-98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94-96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62.1-68.0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117-121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113-114</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100-109</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505" w:type="dxa"/>
            <w:tcBorders>
              <w:top w:val="nil"/>
              <w:left w:val="nil"/>
              <w:bottom w:val="single" w:color="auto" w:sz="4" w:space="0"/>
              <w:right w:val="single" w:color="auto" w:sz="4" w:space="0"/>
            </w:tcBorders>
            <w:shd w:val="clear" w:color="000000" w:fill="FFFFFF"/>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116-125</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504" w:type="dxa"/>
            <w:tcBorders>
              <w:top w:val="nil"/>
              <w:left w:val="nil"/>
              <w:bottom w:val="single" w:color="auto" w:sz="4" w:space="0"/>
              <w:right w:val="single" w:color="auto" w:sz="4" w:space="0"/>
            </w:tcBorders>
            <w:shd w:val="clear" w:color="000000" w:fill="FFFFFF"/>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201-210</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647" w:type="dxa"/>
            <w:tcBorders>
              <w:top w:val="nil"/>
              <w:left w:val="nil"/>
              <w:bottom w:val="single" w:color="auto" w:sz="4" w:space="0"/>
              <w:right w:val="single" w:color="auto" w:sz="4" w:space="0"/>
            </w:tcBorders>
            <w:shd w:val="clear" w:color="000000" w:fill="FFFFFF"/>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4.86-5.00</w:t>
            </w:r>
          </w:p>
        </w:tc>
        <w:tc>
          <w:tcPr>
            <w:tcW w:w="283"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1006" w:type="dxa"/>
            <w:tcBorders>
              <w:top w:val="nil"/>
              <w:left w:val="nil"/>
              <w:bottom w:val="single" w:color="auto" w:sz="4" w:space="0"/>
              <w:right w:val="single" w:color="auto" w:sz="4" w:space="0"/>
            </w:tcBorders>
            <w:shd w:val="clear" w:color="000000" w:fill="FFFFFF"/>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14</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31-15</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30</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683" w:type="dxa"/>
            <w:tcBorders>
              <w:top w:val="nil"/>
              <w:left w:val="nil"/>
              <w:bottom w:val="single" w:color="auto" w:sz="4" w:space="0"/>
              <w:right w:val="single" w:color="auto" w:sz="4" w:space="0"/>
            </w:tcBorders>
            <w:shd w:val="clear" w:color="000000" w:fill="FFFFFF"/>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35.3-38.7</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509" w:type="dxa"/>
            <w:tcBorders>
              <w:top w:val="nil"/>
              <w:left w:val="nil"/>
              <w:bottom w:val="single" w:color="auto" w:sz="4" w:space="0"/>
              <w:right w:val="single" w:color="auto" w:sz="4" w:space="0"/>
            </w:tcBorders>
            <w:shd w:val="clear" w:color="000000" w:fill="FFFFFF"/>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35-36</w:t>
            </w:r>
          </w:p>
        </w:tc>
        <w:tc>
          <w:tcPr>
            <w:tcW w:w="346" w:type="dxa"/>
            <w:tcBorders>
              <w:top w:val="nil"/>
              <w:left w:val="nil"/>
              <w:bottom w:val="single" w:color="auto" w:sz="4" w:space="0"/>
              <w:right w:val="nil"/>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925"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ascii="仿宋_GB2312" w:hAnsi="仿宋" w:eastAsia="仿宋_GB2312" w:cs="宋体"/>
                <w:color w:val="000000"/>
                <w:sz w:val="13"/>
                <w:szCs w:val="13"/>
              </w:rPr>
            </w:pPr>
            <w:r>
              <w:rPr>
                <w:rFonts w:hint="eastAsia" w:ascii="仿宋_GB2312" w:hAnsi="仿宋" w:eastAsia="仿宋_GB2312"/>
                <w:color w:val="000000"/>
                <w:sz w:val="13"/>
                <w:szCs w:val="13"/>
              </w:rPr>
              <w:t>3.11-3.21</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869"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6.16-6.30</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803"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45.1-48.0</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671"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93-95</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537" w:type="dxa"/>
            <w:tcBorders>
              <w:top w:val="nil"/>
              <w:left w:val="nil"/>
              <w:bottom w:val="single" w:color="auto" w:sz="4" w:space="0"/>
              <w:right w:val="single" w:color="auto" w:sz="4" w:space="0"/>
            </w:tcBorders>
            <w:shd w:val="clear" w:color="000000" w:fill="FFFFFF"/>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91-93</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801"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56.1-62.0</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671"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111-116</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c>
          <w:tcPr>
            <w:tcW w:w="738"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111-112</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90-99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111-115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199-200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5.01-5.05</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15</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w:t>
            </w:r>
            <w:r>
              <w:rPr>
                <w:rFonts w:ascii="仿宋_GB2312" w:hAnsi="Courier New" w:eastAsia="仿宋_GB2312" w:cs="Courier New"/>
                <w:color w:val="000000"/>
                <w:sz w:val="13"/>
                <w:szCs w:val="13"/>
              </w:rPr>
              <w:t>1</w:t>
            </w:r>
            <w:r>
              <w:rPr>
                <w:rFonts w:hint="eastAsia" w:ascii="仿宋_GB2312" w:hAnsi="Courier New" w:eastAsia="仿宋_GB2312" w:cs="Courier New"/>
                <w:color w:val="000000"/>
                <w:sz w:val="13"/>
                <w:szCs w:val="13"/>
              </w:rPr>
              <w:t>-15</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42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34.3-35.2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33-34</w:t>
            </w:r>
          </w:p>
        </w:tc>
        <w:tc>
          <w:tcPr>
            <w:tcW w:w="346" w:type="dxa"/>
            <w:tcBorders>
              <w:top w:val="nil"/>
              <w:left w:val="nil"/>
              <w:bottom w:val="single" w:color="auto" w:sz="4" w:space="0"/>
              <w:right w:val="nil"/>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92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3"/>
                <w:szCs w:val="13"/>
              </w:rPr>
            </w:pPr>
            <w:r>
              <w:rPr>
                <w:rFonts w:hint="eastAsia" w:ascii="仿宋_GB2312" w:hAnsi="仿宋" w:eastAsia="仿宋_GB2312"/>
                <w:color w:val="000000"/>
                <w:sz w:val="13"/>
                <w:szCs w:val="13"/>
              </w:rPr>
              <w:t>3.22-3.26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6.31-6.40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44.1-45.0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90-92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89-90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54.1-56.0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109-110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109-110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80-89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106-110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197-198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5.06-5.10</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15</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43-</w:t>
            </w:r>
            <w:r>
              <w:rPr>
                <w:rFonts w:ascii="仿宋_GB2312" w:hAnsi="Courier New" w:eastAsia="仿宋_GB2312" w:cs="Courier New"/>
                <w:color w:val="000000"/>
                <w:sz w:val="13"/>
                <w:szCs w:val="13"/>
              </w:rPr>
              <w:t>1</w:t>
            </w:r>
            <w:r>
              <w:rPr>
                <w:rFonts w:hint="eastAsia" w:ascii="仿宋_GB2312" w:hAnsi="Courier New" w:eastAsia="仿宋_GB2312" w:cs="Courier New"/>
                <w:color w:val="000000"/>
                <w:sz w:val="13"/>
                <w:szCs w:val="13"/>
              </w:rPr>
              <w:t>5</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54</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33.3-34.2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31-32</w:t>
            </w:r>
          </w:p>
        </w:tc>
        <w:tc>
          <w:tcPr>
            <w:tcW w:w="346" w:type="dxa"/>
            <w:tcBorders>
              <w:top w:val="nil"/>
              <w:left w:val="nil"/>
              <w:bottom w:val="single" w:color="auto" w:sz="4" w:space="0"/>
              <w:right w:val="nil"/>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925"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ascii="仿宋_GB2312" w:hAnsi="仿宋" w:eastAsia="仿宋_GB2312" w:cs="宋体"/>
                <w:color w:val="000000"/>
                <w:sz w:val="13"/>
                <w:szCs w:val="13"/>
              </w:rPr>
            </w:pPr>
            <w:r>
              <w:rPr>
                <w:rFonts w:hint="eastAsia" w:ascii="仿宋_GB2312" w:hAnsi="仿宋" w:eastAsia="仿宋_GB2312"/>
                <w:color w:val="000000"/>
                <w:sz w:val="13"/>
                <w:szCs w:val="13"/>
              </w:rPr>
              <w:t>3.27-3.31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6.41-6.50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43.1-44.0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88-89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87-88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52.1-54.0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107-108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107-108</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70-79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101-105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195-196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5.11-5.15</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15</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55-</w:t>
            </w:r>
            <w:r>
              <w:rPr>
                <w:rFonts w:ascii="仿宋_GB2312" w:hAnsi="Courier New" w:eastAsia="仿宋_GB2312" w:cs="Courier New"/>
                <w:color w:val="000000"/>
                <w:sz w:val="13"/>
                <w:szCs w:val="13"/>
              </w:rPr>
              <w:t>1</w:t>
            </w:r>
            <w:r>
              <w:rPr>
                <w:rFonts w:hint="eastAsia" w:ascii="仿宋_GB2312" w:hAnsi="Courier New" w:eastAsia="仿宋_GB2312" w:cs="Courier New"/>
                <w:color w:val="000000"/>
                <w:sz w:val="13"/>
                <w:szCs w:val="13"/>
              </w:rPr>
              <w:t>6</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06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32.3-33.2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29-30</w:t>
            </w:r>
          </w:p>
        </w:tc>
        <w:tc>
          <w:tcPr>
            <w:tcW w:w="346" w:type="dxa"/>
            <w:tcBorders>
              <w:top w:val="nil"/>
              <w:left w:val="nil"/>
              <w:bottom w:val="single" w:color="auto" w:sz="4" w:space="0"/>
              <w:right w:val="nil"/>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92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3"/>
                <w:szCs w:val="13"/>
              </w:rPr>
            </w:pPr>
            <w:r>
              <w:rPr>
                <w:rFonts w:hint="eastAsia" w:ascii="仿宋_GB2312" w:hAnsi="仿宋" w:eastAsia="仿宋_GB2312"/>
                <w:color w:val="000000"/>
                <w:sz w:val="13"/>
                <w:szCs w:val="13"/>
              </w:rPr>
              <w:t>3.32-3.36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6.51-6.60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42.1-43.0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86-87</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85-86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50.1-52.0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105-106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105-106</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60-69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96-100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193-194</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5.16-5.20</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16</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07-16</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18</w:t>
            </w:r>
          </w:p>
        </w:tc>
        <w:tc>
          <w:tcPr>
            <w:tcW w:w="34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31.3-32.2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27-28</w:t>
            </w:r>
          </w:p>
        </w:tc>
        <w:tc>
          <w:tcPr>
            <w:tcW w:w="346" w:type="dxa"/>
            <w:tcBorders>
              <w:top w:val="nil"/>
              <w:left w:val="nil"/>
              <w:bottom w:val="single" w:color="auto" w:sz="4" w:space="0"/>
              <w:right w:val="nil"/>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925"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ascii="仿宋_GB2312" w:hAnsi="仿宋" w:eastAsia="仿宋_GB2312" w:cs="宋体"/>
                <w:color w:val="000000"/>
                <w:sz w:val="13"/>
                <w:szCs w:val="13"/>
              </w:rPr>
            </w:pPr>
            <w:r>
              <w:rPr>
                <w:rFonts w:hint="eastAsia" w:ascii="仿宋_GB2312" w:hAnsi="仿宋" w:eastAsia="仿宋_GB2312"/>
                <w:color w:val="000000"/>
                <w:sz w:val="13"/>
                <w:szCs w:val="13"/>
              </w:rPr>
              <w:t>3.37-3.41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6.61-6.70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41.1-42.0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84-85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83-84</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48.1-50.0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103-104</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103-104</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50-59</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91-95</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191-192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5.21-5.25</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16</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19-16</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w:t>
            </w:r>
            <w:r>
              <w:rPr>
                <w:rFonts w:ascii="仿宋_GB2312" w:hAnsi="Courier New" w:eastAsia="仿宋_GB2312" w:cs="Courier New"/>
                <w:color w:val="000000"/>
                <w:sz w:val="13"/>
                <w:szCs w:val="13"/>
              </w:rPr>
              <w:t>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30.3-31.2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25-26</w:t>
            </w:r>
          </w:p>
        </w:tc>
        <w:tc>
          <w:tcPr>
            <w:tcW w:w="346" w:type="dxa"/>
            <w:tcBorders>
              <w:top w:val="nil"/>
              <w:left w:val="nil"/>
              <w:bottom w:val="single" w:color="auto" w:sz="4" w:space="0"/>
              <w:right w:val="nil"/>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92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3"/>
                <w:szCs w:val="13"/>
              </w:rPr>
            </w:pPr>
            <w:r>
              <w:rPr>
                <w:rFonts w:hint="eastAsia" w:ascii="仿宋_GB2312" w:hAnsi="仿宋" w:eastAsia="仿宋_GB2312"/>
                <w:color w:val="000000"/>
                <w:sz w:val="13"/>
                <w:szCs w:val="13"/>
              </w:rPr>
              <w:t>3.42-3.51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6.71-6.80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39.1-41.0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82-83</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81-82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46.1-48.0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101-102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101-102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1</w:t>
            </w: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ind w:left="0" w:leftChars="-45" w:right="-90" w:rightChars="-43" w:hanging="94" w:hangingChars="7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&lt;50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505" w:type="dxa"/>
            <w:tcBorders>
              <w:top w:val="nil"/>
              <w:left w:val="nil"/>
              <w:bottom w:val="single" w:color="auto" w:sz="4" w:space="0"/>
              <w:right w:val="single" w:color="auto" w:sz="4" w:space="0"/>
            </w:tcBorders>
            <w:shd w:val="clear" w:color="auto" w:fill="auto"/>
            <w:noWrap/>
            <w:vAlign w:val="center"/>
          </w:tcPr>
          <w:p>
            <w:pPr>
              <w:ind w:left="-3" w:leftChars="-45" w:right="-107" w:rightChars="-51" w:hanging="91" w:hangingChars="70"/>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&lt;91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504" w:type="dxa"/>
            <w:tcBorders>
              <w:top w:val="nil"/>
              <w:left w:val="nil"/>
              <w:bottom w:val="single" w:color="auto" w:sz="4" w:space="0"/>
              <w:right w:val="single" w:color="auto" w:sz="4" w:space="0"/>
            </w:tcBorders>
            <w:shd w:val="clear" w:color="auto" w:fill="auto"/>
            <w:noWrap/>
            <w:vAlign w:val="center"/>
          </w:tcPr>
          <w:p>
            <w:pPr>
              <w:ind w:leftChars="-45" w:right="-103" w:rightChars="-49" w:hanging="93" w:hangingChars="72"/>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&lt;191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647" w:type="dxa"/>
            <w:tcBorders>
              <w:top w:val="nil"/>
              <w:left w:val="nil"/>
              <w:bottom w:val="single" w:color="auto" w:sz="4" w:space="0"/>
              <w:right w:val="single" w:color="auto" w:sz="4" w:space="0"/>
            </w:tcBorders>
            <w:shd w:val="clear" w:color="auto" w:fill="auto"/>
            <w:noWrap/>
            <w:vAlign w:val="center"/>
          </w:tcPr>
          <w:p>
            <w:pPr>
              <w:ind w:left="-2" w:leftChars="-52" w:right="-107" w:rightChars="-51" w:hanging="107" w:hangingChars="8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&gt;5.25</w:t>
            </w:r>
          </w:p>
        </w:tc>
        <w:tc>
          <w:tcPr>
            <w:tcW w:w="28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1006" w:type="dxa"/>
            <w:tcBorders>
              <w:top w:val="nil"/>
              <w:left w:val="nil"/>
              <w:bottom w:val="single" w:color="auto" w:sz="4" w:space="0"/>
              <w:right w:val="single" w:color="auto" w:sz="4" w:space="0"/>
            </w:tcBorders>
            <w:shd w:val="clear" w:color="auto" w:fill="auto"/>
            <w:noWrap/>
            <w:vAlign w:val="center"/>
          </w:tcPr>
          <w:p>
            <w:pPr>
              <w:ind w:left="-1" w:leftChars="-46" w:right="-113" w:rightChars="-54" w:hanging="96" w:hangingChars="74"/>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&gt;16</w:t>
            </w:r>
            <w:r>
              <w:rPr>
                <w:rFonts w:ascii="仿宋_GB2312" w:hAnsi="Courier New" w:eastAsia="仿宋_GB2312" w:cs="Courier New"/>
                <w:color w:val="000000"/>
                <w:sz w:val="13"/>
                <w:szCs w:val="13"/>
              </w:rPr>
              <w:t>’</w:t>
            </w:r>
            <w:r>
              <w:rPr>
                <w:rFonts w:hint="eastAsia" w:ascii="仿宋_GB2312" w:hAnsi="Courier New" w:eastAsia="仿宋_GB2312" w:cs="Courier New"/>
                <w:color w:val="000000"/>
                <w:sz w:val="13"/>
                <w:szCs w:val="13"/>
              </w:rPr>
              <w:t>30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683" w:type="dxa"/>
            <w:tcBorders>
              <w:top w:val="nil"/>
              <w:left w:val="nil"/>
              <w:bottom w:val="single" w:color="auto" w:sz="4" w:space="0"/>
              <w:right w:val="single" w:color="auto" w:sz="4" w:space="0"/>
            </w:tcBorders>
            <w:shd w:val="clear" w:color="auto" w:fill="auto"/>
            <w:noWrap/>
            <w:vAlign w:val="center"/>
          </w:tcPr>
          <w:p>
            <w:pPr>
              <w:ind w:leftChars="-49" w:right="-126" w:rightChars="-60" w:hanging="102" w:hangingChars="79"/>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&lt;30.3</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509" w:type="dxa"/>
            <w:tcBorders>
              <w:top w:val="nil"/>
              <w:left w:val="nil"/>
              <w:bottom w:val="single" w:color="auto" w:sz="4" w:space="0"/>
              <w:right w:val="single" w:color="auto" w:sz="4" w:space="0"/>
            </w:tcBorders>
            <w:shd w:val="clear" w:color="auto" w:fill="auto"/>
            <w:noWrap/>
            <w:vAlign w:val="center"/>
          </w:tcPr>
          <w:p>
            <w:pPr>
              <w:ind w:leftChars="-47" w:right="-109" w:rightChars="-52" w:hanging="98" w:hangingChars="76"/>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&lt;25</w:t>
            </w:r>
          </w:p>
        </w:tc>
        <w:tc>
          <w:tcPr>
            <w:tcW w:w="346" w:type="dxa"/>
            <w:tcBorders>
              <w:top w:val="nil"/>
              <w:left w:val="nil"/>
              <w:bottom w:val="single" w:color="auto" w:sz="4" w:space="0"/>
              <w:right w:val="nil"/>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92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3"/>
                <w:szCs w:val="13"/>
              </w:rPr>
            </w:pPr>
            <w:r>
              <w:rPr>
                <w:rFonts w:hint="eastAsia" w:ascii="仿宋_GB2312" w:hAnsi="仿宋" w:eastAsia="仿宋_GB2312"/>
                <w:color w:val="000000"/>
                <w:sz w:val="13"/>
                <w:szCs w:val="13"/>
              </w:rPr>
              <w:t>&gt;3.51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869"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&gt;6.80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803"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&lt;39.1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&lt;82</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537" w:type="dxa"/>
            <w:tcBorders>
              <w:top w:val="nil"/>
              <w:left w:val="nil"/>
              <w:bottom w:val="single" w:color="auto" w:sz="4" w:space="0"/>
              <w:right w:val="single" w:color="auto" w:sz="4" w:space="0"/>
            </w:tcBorders>
            <w:shd w:val="clear" w:color="auto" w:fill="auto"/>
            <w:noWrap/>
            <w:vAlign w:val="center"/>
          </w:tcPr>
          <w:p>
            <w:pPr>
              <w:ind w:leftChars="-33" w:hanging="68" w:hangingChars="53"/>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&lt;81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&lt;46.1</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&lt;100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c>
          <w:tcPr>
            <w:tcW w:w="738"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&lt;100</w:t>
            </w:r>
          </w:p>
        </w:tc>
        <w:tc>
          <w:tcPr>
            <w:tcW w:w="346" w:type="dxa"/>
            <w:tcBorders>
              <w:top w:val="nil"/>
              <w:left w:val="nil"/>
              <w:bottom w:val="single" w:color="auto" w:sz="4" w:space="0"/>
              <w:right w:val="single" w:color="auto" w:sz="4" w:space="0"/>
            </w:tcBorders>
            <w:shd w:val="clear" w:color="auto" w:fill="auto"/>
            <w:noWrap/>
            <w:vAlign w:val="center"/>
          </w:tcPr>
          <w:p>
            <w:pPr>
              <w:jc w:val="center"/>
              <w:rPr>
                <w:rFonts w:ascii="仿宋_GB2312" w:hAnsi="Courier New" w:eastAsia="仿宋_GB2312" w:cs="Courier New"/>
                <w:color w:val="000000"/>
                <w:sz w:val="13"/>
                <w:szCs w:val="13"/>
              </w:rPr>
            </w:pPr>
            <w:r>
              <w:rPr>
                <w:rFonts w:hint="eastAsia" w:ascii="仿宋_GB2312" w:hAnsi="Courier New" w:eastAsia="仿宋_GB2312" w:cs="Courier New"/>
                <w:color w:val="000000"/>
                <w:sz w:val="13"/>
                <w:szCs w:val="13"/>
              </w:rPr>
              <w:t>0</w:t>
            </w:r>
          </w:p>
        </w:tc>
      </w:tr>
    </w:tbl>
    <w:p>
      <w:pPr>
        <w:spacing w:line="360" w:lineRule="auto"/>
        <w:rPr>
          <w:rFonts w:hint="eastAsia" w:ascii="仿宋_GB2312" w:hAnsi="微软雅黑" w:eastAsia="仿宋_GB2312"/>
          <w:color w:val="000000" w:themeColor="text1"/>
          <w:sz w:val="30"/>
          <w:szCs w:val="30"/>
          <w14:textFill>
            <w14:solidFill>
              <w14:schemeClr w14:val="tx1"/>
            </w14:solidFill>
          </w14:textFill>
        </w:rPr>
        <w:sectPr>
          <w:pgSz w:w="16838" w:h="11906" w:orient="landscape"/>
          <w:pgMar w:top="1800" w:right="1440" w:bottom="1800" w:left="1440" w:header="851" w:footer="992" w:gutter="0"/>
          <w:cols w:space="720" w:num="1"/>
          <w:docGrid w:type="lines" w:linePitch="312" w:charSpace="0"/>
        </w:sectPr>
      </w:pPr>
    </w:p>
    <w:p>
      <w:pPr>
        <w:spacing w:line="360" w:lineRule="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三、测试方法</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（一）腹肌耐力</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所需器材：长凳或跳箱；秒表。</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被测者仰卧在长凳或跳箱上，躯干悬空，髂前上棘置于长凳或跳箱边缘，双手交叉放在胸前，由同伴帮助固定小腿，保持身体不低于水平面，可适当高于水平面，但不得超过30度。</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裁判员倒数3、2、1，待发出“开始”口令后，计时开始。</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记录运动员保持身体位置的时间，如果身体低于水平面时，或高于水平面30度，即测试停止。</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每人有两次测试机会，两次测试时间间隔小于1分钟，取最好成绩。</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计量单位为秒，精确到整数。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（二）背肌耐力</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所需器材：长凳或跳箱；秒表。</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被测者俯卧在长凳或跳箱上，躯干悬空，髂前上棘置于长凳或跳箱边缘，双手交叉放在胸前，由同伴帮助固定小腿，保持身体在一个平面上。裁判员倒数3、2、1，待发出“开始”口令后，计时开始。</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记录运动员保持身体位置的时间，如果身体不能保持在一个平面时，即测试停止。</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每人有两次测试机会，两次测试时间间隔小于1分钟，取最好成绩。</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计量单位为秒，精确到整数。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（三）立定跳远</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所需器材：电子测距仪或米尺。</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两脚自然分开站立，站在起跳线后，脚尖不得踩线。</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两脚原地起跳，不得有垫步连跳动作。</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丈量起跳线至最近着地点的距离，以厘米为单位，精确到整数。</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每人连续跳两次，取最好成绩。</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发现犯规时，此次成绩无效；两次均犯规者，成绩为零。</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（四）5-10-5灵敏性测试</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测试设备：</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1.田径场或可以测距的场地。</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2.皮尺或测距仪。</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3.秒表或电子计时器</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4.标志盘（矿泉水瓶）（标记中间点及终点）。</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测试步骤</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1.运动员面向前方两脚跨立保持人体中轴线在中线，一手触中线做好准备；</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2.裁判员采用“预备-跑”的方式发令，同时开始计时。</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3.运动员首先往右跑5码，之后变向往左跑10码，再变向往右跑5码。运动员通过终点时需用手触倒矿泉水瓶（碰触矿泉水瓶瞬间，裁判员停表；需触倒矿泉水瓶才视为有效成绩）；</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运动员每次变向都要用手触倒矿泉水瓶，否则成绩无效；</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4.每人两次测试机会，取最好成绩；</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5.计量单位为秒，保留2位小数。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（五）3000米跑</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所需器材：田径场；秒表或电子计时器。</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测试要求：站立式起跑，用最快速度完成3000米距离。执行田径3000米竞赛规则，违规者成绩无效。</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计量单位为分和秒，记录方式用小数点.隔开分与秒。</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例如测试成绩为11分30秒，记录成绩为11.30</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（六）单手握力</w:t>
      </w:r>
    </w:p>
    <w:p>
      <w:pPr>
        <w:spacing w:line="360" w:lineRule="auto"/>
        <w:rPr>
          <w:rFonts w:hint="eastAsia" w:ascii="仿宋" w:hAnsi="仿宋" w:eastAsia="仿宋"/>
          <w:sz w:val="32"/>
          <w:szCs w:val="32"/>
        </w:rPr>
      </w:pPr>
      <w:r>
        <w:rPr>
          <w:rFonts w:hint="eastAsia" w:ascii="仿宋" w:hAnsi="仿宋" w:eastAsia="仿宋"/>
          <w:sz w:val="32"/>
          <w:szCs w:val="32"/>
        </w:rPr>
        <w:t>测试设备：电子握力计</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测试要求：运动员两脚与肩同宽站立，手臂自然下垂（不能接触身体），手握握力计且不能晃动，用力握紧2-3秒。每只手测量两次（双手各轮流一次的方式进行测量，比如右左右左或左右左右），取单手最好成绩。计量单位为公斤，保留1位小数点。</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（七）旋转爆发力</w:t>
      </w:r>
    </w:p>
    <w:p>
      <w:pPr>
        <w:spacing w:line="360" w:lineRule="auto"/>
        <w:rPr>
          <w:rFonts w:hint="eastAsia" w:ascii="仿宋" w:hAnsi="仿宋" w:eastAsia="仿宋"/>
          <w:sz w:val="32"/>
          <w:szCs w:val="32"/>
        </w:rPr>
      </w:pPr>
      <w:r>
        <w:rPr>
          <w:rFonts w:hint="eastAsia" w:ascii="仿宋" w:hAnsi="仿宋" w:eastAsia="仿宋"/>
          <w:sz w:val="32"/>
          <w:szCs w:val="32"/>
        </w:rPr>
        <w:t>测试设备：2磅药球、雷达测速仪、挡网</w:t>
      </w:r>
    </w:p>
    <w:p>
      <w:pPr>
        <w:spacing w:line="360" w:lineRule="auto"/>
        <w:rPr>
          <w:rFonts w:hint="eastAsia" w:ascii="仿宋" w:hAnsi="仿宋" w:eastAsia="仿宋"/>
          <w:sz w:val="32"/>
          <w:szCs w:val="32"/>
        </w:rPr>
      </w:pPr>
      <w:r>
        <w:rPr>
          <w:rFonts w:hint="eastAsia" w:ascii="仿宋" w:hAnsi="仿宋" w:eastAsia="仿宋"/>
          <w:sz w:val="32"/>
          <w:szCs w:val="32"/>
        </w:rPr>
        <w:t>测试要求：运动员位于测速仪和挡网之间，采取击球姿势，双手持2磅药球于胸前，使药球远离身体。运动员旋转将球带至后腿，然后利用爆发力将球向挡网方向抛出去。雷达枪测试药球飞行速度，左右两侧（左打右打姿势）各测两次，取单侧最好成绩。计量单位为公里/小时，取整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（八）2</w:t>
      </w:r>
      <w:r>
        <w:rPr>
          <w:rFonts w:ascii="仿宋" w:hAnsi="仿宋" w:eastAsia="仿宋"/>
          <w:b/>
          <w:color w:val="000000" w:themeColor="text1"/>
          <w:sz w:val="32"/>
          <w:szCs w:val="32"/>
          <w14:textFill>
            <w14:solidFill>
              <w14:schemeClr w14:val="tx1"/>
            </w14:solidFill>
          </w14:textFill>
        </w:rPr>
        <w:t>0</w:t>
      </w:r>
      <w:r>
        <w:rPr>
          <w:rFonts w:hint="eastAsia" w:ascii="仿宋" w:hAnsi="仿宋" w:eastAsia="仿宋"/>
          <w:b/>
          <w:color w:val="000000" w:themeColor="text1"/>
          <w:sz w:val="32"/>
          <w:szCs w:val="32"/>
          <w14:textFill>
            <w14:solidFill>
              <w14:schemeClr w14:val="tx1"/>
            </w14:solidFill>
          </w14:textFill>
        </w:rPr>
        <w:t>码冲刺</w:t>
      </w:r>
    </w:p>
    <w:p>
      <w:pPr>
        <w:spacing w:line="360" w:lineRule="auto"/>
        <w:rPr>
          <w:rFonts w:hint="eastAsia" w:ascii="仿宋" w:hAnsi="仿宋" w:eastAsia="仿宋"/>
          <w:sz w:val="32"/>
          <w:szCs w:val="32"/>
        </w:rPr>
      </w:pPr>
      <w:r>
        <w:rPr>
          <w:rFonts w:hint="eastAsia" w:ascii="仿宋" w:hAnsi="仿宋" w:eastAsia="仿宋"/>
          <w:sz w:val="32"/>
          <w:szCs w:val="32"/>
        </w:rPr>
        <w:t>测试器材：田径场或垒球场地、电子计时器</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测试要求：距离起跑线1</w:t>
      </w:r>
      <w:r>
        <w:rPr>
          <w:rFonts w:ascii="仿宋" w:hAnsi="仿宋" w:eastAsia="仿宋"/>
          <w:sz w:val="32"/>
          <w:szCs w:val="32"/>
        </w:rPr>
        <w:t>8.3</w:t>
      </w:r>
      <w:r>
        <w:rPr>
          <w:rFonts w:hint="eastAsia" w:ascii="仿宋" w:hAnsi="仿宋" w:eastAsia="仿宋"/>
          <w:sz w:val="32"/>
          <w:szCs w:val="32"/>
        </w:rPr>
        <w:t>米（2</w:t>
      </w:r>
      <w:r>
        <w:rPr>
          <w:rFonts w:ascii="仿宋" w:hAnsi="仿宋" w:eastAsia="仿宋"/>
          <w:sz w:val="32"/>
          <w:szCs w:val="32"/>
        </w:rPr>
        <w:t>0</w:t>
      </w:r>
      <w:r>
        <w:rPr>
          <w:rFonts w:hint="eastAsia" w:ascii="仿宋" w:hAnsi="仿宋" w:eastAsia="仿宋"/>
          <w:sz w:val="32"/>
          <w:szCs w:val="32"/>
        </w:rPr>
        <w:t>码）处画一终点线，运动员站立式起跑。裁判员示意可以开始后，运动员随时可以起跑，运动员胸部越过终点线后，计时结束。计量单位为秒，保留两位小数。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（九）掷远（投手）</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测试器材：运动场；皮尺或电子测距仪；比赛垒球。</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受测者持球站在助跑区域内，原地或助跑将球掷出（上手或下手均可），丈量掷远线至球第一落地点之间的距离。连续测试3次，取距离最远的一次为测试成绩。</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计量单位为米，保留1位小数。</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若受测者持球准备时，其任意一脚完全踏出助跑区域后侧线，或在传球出手前、出手后，其任意一脚完全踏出或触踏掷远线，或掷出的球未落在掷远有效区内，则该次掷远无效，且视为1次测试。</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注：掷远有效区为20米宽，有效区两条界线属于有效区；助跑区域8米宽和5米长。</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（十）投球测速（投手）</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测试器材：垒球场，比赛垒球，挡网，雷达测速仪。</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投手持球站在距本垒尖角13.11米的投手板上，向置于击球箱后沿的挡网投球。雷达测速仪设置于接手接球区后沿正对投手板。</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投手的投球动作符合中国垒球协会最新审定的垒球规则为有效投球，有效投球的球速为有效球速。</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每名投手连续测试3次，每次投球间歇小于1分钟，取最好成绩。三次均为无效投球，则测试成绩为零。</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计量单位为公里/小时，保留整数。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（十一）上手球速（场员）</w:t>
      </w:r>
    </w:p>
    <w:p>
      <w:pPr>
        <w:spacing w:line="360" w:lineRule="auto"/>
        <w:rPr>
          <w:rFonts w:hint="eastAsia" w:ascii="仿宋" w:hAnsi="仿宋" w:eastAsia="仿宋"/>
          <w:sz w:val="32"/>
          <w:szCs w:val="32"/>
        </w:rPr>
      </w:pPr>
      <w:r>
        <w:rPr>
          <w:rFonts w:hint="eastAsia" w:ascii="仿宋" w:hAnsi="仿宋" w:eastAsia="仿宋"/>
          <w:sz w:val="32"/>
          <w:szCs w:val="32"/>
        </w:rPr>
        <w:t>测试器材：雷达测速仪、比赛垒球、挡网</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测速仪放置于挡网后，离挡网5米处画投手板（画线或简易投手板均可），运动员在投手板处用迈步上手传球的方式，以测速仪为目标将球扔向挡网，连续测量3次。运动员启动传球动作之前轴心脚不能离开投手板，不允许助跑或垫步传球，否则该次测速无效且视为一次测试机会。取最好成绩，计量单位为公里/小时，取整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（十二）二垒至本垒跑（场员）</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测试器材：垒球场地；秒表或电子计时器</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1.运动员前脚触踏二垒垒包，采用站立式起跑做好准备，裁判员发令前不得有任何起跑动作；</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2.发令裁判员站在投手圈内，“预备”口令后，向下挥旗，运动员看旗挥动起跑，同时计时裁判员看旗挥动瞬间开始计时；</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3.运动员脚踏本垒，计时结束；</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4.抢跑、漏踏垒成绩无效；</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5.每人有两次测试机会，取最好成绩；</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6.计量单位为秒，保留两位小数。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（十三）立柱打远（场员）</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测试器材：空旷场地；打击座；皮尺或电子测距仪；垒球统一提供；球棒自备。</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在本垒板中心设置击球座，运动员根据自己的比赛习惯站在左（右）打击区，然后将球击入场地内，丈量本垒板尖角至球第一落地点之间的距离。连续测试3次，取距离最远的一次为测试成绩。</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裁判员将球放置在击球座上后，5秒钟内未完成击球，或挥击不中，或击成界外球，或不合法击球，则视为1次击球，成绩无效。</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计量单位为米，保留1位小数。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（十四）挥棒速度（场员）</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测试器材：空旷场地；雷达测速仪、三脚架；球棒自备。</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测试要求：测速仪放置于运动员腰带高度，调成测棒速模式；运动员以打击姿势，面向测速仪空挥（棒面与测速仪持平）3次，取最好成绩。计量单位为公里/小时，取整数。</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（十五）击球速度（场员）</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测试器材：空旷场地；T座、雷达测速仪、三脚架；球棒自备。</w:t>
      </w:r>
    </w:p>
    <w:p>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测试要求：测速仪放置于挡网后，T座放置于挡网前2米处，击球员以正常击球动作将球击向挡网，每人连续3次。测量击出的球飞行速度，取最好成绩。计量单位为公里/小时，取整数。</w:t>
      </w:r>
    </w:p>
    <w:p>
      <w:pPr>
        <w:widowControl/>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pPr>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第十五届全国运动会垒球项目积分规则</w:t>
      </w:r>
    </w:p>
    <w:p>
      <w:pPr>
        <w:jc w:val="center"/>
        <w:rPr>
          <w:rFonts w:ascii="方正小标宋简体" w:eastAsia="方正小标宋简体"/>
          <w:color w:val="000000" w:themeColor="text1"/>
          <w:sz w:val="18"/>
          <w:szCs w:val="18"/>
          <w14:textFill>
            <w14:solidFill>
              <w14:schemeClr w14:val="tx1"/>
            </w14:solidFill>
          </w14:textFill>
        </w:rPr>
      </w:pPr>
    </w:p>
    <w:p>
      <w:pPr>
        <w:pStyle w:val="20"/>
        <w:numPr>
          <w:ilvl w:val="0"/>
          <w:numId w:val="1"/>
        </w:numPr>
        <w:tabs>
          <w:tab w:val="left" w:pos="1320"/>
        </w:tabs>
        <w:ind w:left="0" w:firstLine="640" w:firstLineChars="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积分赛事</w:t>
      </w:r>
    </w:p>
    <w:p>
      <w:pPr>
        <w:tabs>
          <w:tab w:val="left" w:pos="1320"/>
        </w:tabs>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023</w:t>
      </w:r>
      <w:r>
        <w:rPr>
          <w:rFonts w:hint="eastAsia" w:ascii="仿宋" w:hAnsi="仿宋" w:eastAsia="仿宋"/>
          <w:color w:val="000000" w:themeColor="text1"/>
          <w:sz w:val="32"/>
          <w:szCs w:val="32"/>
          <w14:textFill>
            <w14:solidFill>
              <w14:schemeClr w14:val="tx1"/>
            </w14:solidFill>
          </w14:textFill>
        </w:rPr>
        <w:t>年：全国女子垒球锦标赛、全国青年女子垒球锦标赛。</w:t>
      </w:r>
    </w:p>
    <w:p>
      <w:pPr>
        <w:tabs>
          <w:tab w:val="left" w:pos="1320"/>
        </w:tabs>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024</w:t>
      </w:r>
      <w:r>
        <w:rPr>
          <w:rFonts w:hint="eastAsia" w:ascii="仿宋" w:hAnsi="仿宋" w:eastAsia="仿宋"/>
          <w:color w:val="000000" w:themeColor="text1"/>
          <w:sz w:val="32"/>
          <w:szCs w:val="32"/>
          <w14:textFill>
            <w14:solidFill>
              <w14:schemeClr w14:val="tx1"/>
            </w14:solidFill>
          </w14:textFill>
        </w:rPr>
        <w:t>年：中国垒球联赛、全国女子垒球锦标赛、全国青年女子垒球锦标赛。</w:t>
      </w:r>
    </w:p>
    <w:p>
      <w:pPr>
        <w:tabs>
          <w:tab w:val="left" w:pos="1320"/>
        </w:tabs>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02</w:t>
      </w:r>
      <w:r>
        <w:rPr>
          <w:rFonts w:hint="eastAsia" w:ascii="仿宋" w:hAnsi="仿宋" w:eastAsia="仿宋"/>
          <w:color w:val="000000" w:themeColor="text1"/>
          <w:sz w:val="32"/>
          <w:szCs w:val="32"/>
          <w14:textFill>
            <w14:solidFill>
              <w14:schemeClr w14:val="tx1"/>
            </w14:solidFill>
          </w14:textFill>
        </w:rPr>
        <w:t>5年：中国垒球联赛、全国女子垒球锦标赛。</w:t>
      </w:r>
    </w:p>
    <w:p>
      <w:pPr>
        <w:pStyle w:val="20"/>
        <w:numPr>
          <w:ilvl w:val="0"/>
          <w:numId w:val="1"/>
        </w:numPr>
        <w:tabs>
          <w:tab w:val="left" w:pos="1320"/>
        </w:tabs>
        <w:ind w:left="0" w:firstLine="640" w:firstLineChars="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积分计算方式</w:t>
      </w:r>
    </w:p>
    <w:p>
      <w:pPr>
        <w:tabs>
          <w:tab w:val="left" w:pos="1320"/>
        </w:tabs>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每支队伍参加比赛前必须确定自己积分归属单位，且归属单位在第十五届全国运动会结束之前不得再更改。如同一个比赛有两支（含）以上队伍的积分归属为同一个单位,则该次比赛中选取其中积分最高的一支队伍（简称积分队伍）为归属单位积分。</w:t>
      </w:r>
    </w:p>
    <w:p>
      <w:pPr>
        <w:pStyle w:val="20"/>
        <w:tabs>
          <w:tab w:val="left" w:pos="960"/>
        </w:tabs>
        <w:ind w:firstLine="566" w:firstLineChars="177"/>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球队在每个积分赛事的大循环赛阶段中（以各积分赛竞赛规程为准），每胜一场积</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分，负一场积1分。</w:t>
      </w:r>
    </w:p>
    <w:p>
      <w:pPr>
        <w:pStyle w:val="20"/>
        <w:numPr>
          <w:ilvl w:val="0"/>
          <w:numId w:val="1"/>
        </w:numPr>
        <w:tabs>
          <w:tab w:val="left" w:pos="1320"/>
        </w:tabs>
        <w:ind w:left="0" w:firstLine="640" w:firstLineChars="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全国运动会资格积分</w:t>
      </w:r>
    </w:p>
    <w:p>
      <w:pPr>
        <w:tabs>
          <w:tab w:val="left" w:pos="1320"/>
        </w:tabs>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2023年至2025年期间，每个单位在参加所有积分赛获得的积分之和为该单位第十五届全国运动会资格总积分。</w:t>
      </w:r>
    </w:p>
    <w:p>
      <w:pPr>
        <w:pStyle w:val="20"/>
        <w:numPr>
          <w:ilvl w:val="0"/>
          <w:numId w:val="1"/>
        </w:numPr>
        <w:tabs>
          <w:tab w:val="left" w:pos="1320"/>
        </w:tabs>
        <w:ind w:left="0" w:firstLine="640" w:firstLineChars="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决赛</w:t>
      </w:r>
      <w:r>
        <w:rPr>
          <w:rFonts w:hint="eastAsia" w:ascii="黑体" w:hAnsi="黑体" w:eastAsia="黑体" w:cs="黑体"/>
          <w:color w:val="000000" w:themeColor="text1"/>
          <w:sz w:val="32"/>
          <w:szCs w:val="32"/>
          <w:lang w:eastAsia="zh-CN"/>
          <w14:textFill>
            <w14:solidFill>
              <w14:schemeClr w14:val="tx1"/>
            </w14:solidFill>
          </w14:textFill>
        </w:rPr>
        <w:t>阶段</w:t>
      </w:r>
      <w:r>
        <w:rPr>
          <w:rFonts w:hint="eastAsia" w:ascii="黑体" w:hAnsi="黑体" w:eastAsia="黑体" w:cs="黑体"/>
          <w:color w:val="000000" w:themeColor="text1"/>
          <w:sz w:val="32"/>
          <w:szCs w:val="32"/>
          <w14:textFill>
            <w14:solidFill>
              <w14:schemeClr w14:val="tx1"/>
            </w14:solidFill>
          </w14:textFill>
        </w:rPr>
        <w:t>资格</w:t>
      </w:r>
    </w:p>
    <w:p>
      <w:pPr>
        <w:tabs>
          <w:tab w:val="left" w:pos="1320"/>
        </w:tabs>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除东道主外所有总积分前六名的单位获得决赛</w:t>
      </w:r>
      <w:r>
        <w:rPr>
          <w:rFonts w:hint="eastAsia" w:ascii="仿宋" w:hAnsi="仿宋" w:eastAsia="仿宋"/>
          <w:color w:val="000000" w:themeColor="text1"/>
          <w:sz w:val="32"/>
          <w:szCs w:val="32"/>
          <w:lang w:eastAsia="zh-CN"/>
          <w14:textFill>
            <w14:solidFill>
              <w14:schemeClr w14:val="tx1"/>
            </w14:solidFill>
          </w14:textFill>
        </w:rPr>
        <w:t>阶段</w:t>
      </w:r>
      <w:r>
        <w:rPr>
          <w:rFonts w:hint="eastAsia" w:ascii="仿宋" w:hAnsi="仿宋" w:eastAsia="仿宋"/>
          <w:color w:val="000000" w:themeColor="text1"/>
          <w:sz w:val="32"/>
          <w:szCs w:val="32"/>
          <w14:textFill>
            <w14:solidFill>
              <w14:schemeClr w14:val="tx1"/>
            </w14:solidFill>
          </w14:textFill>
        </w:rPr>
        <w:t>名额。</w:t>
      </w:r>
    </w:p>
    <w:p>
      <w:pPr>
        <w:tabs>
          <w:tab w:val="left" w:pos="1320"/>
        </w:tabs>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如遇积分相同时，按所有积分赛事大循环阶段中积分相同队伍间比赛胜场数排序，高者列前；再相同，则按积分相同队伍间比赛得分数，高者列前；再相同，则按大循环阶段全部比赛得分数，高者列前；再相同，则通过1场附加赛决定名次。</w:t>
      </w: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Emoji">
    <w:altName w:val="Noto Sans"/>
    <w:panose1 w:val="020B0502040204020203"/>
    <w:charset w:val="00"/>
    <w:family w:val="swiss"/>
    <w:pitch w:val="default"/>
    <w:sig w:usb0="00000000" w:usb1="00000000" w:usb2="08000000" w:usb3="00000000" w:csb0="0000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54311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588016"/>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chineseCountingThousand"/>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FA7"/>
    <w:rsid w:val="00003A81"/>
    <w:rsid w:val="000075B9"/>
    <w:rsid w:val="000240D3"/>
    <w:rsid w:val="00040744"/>
    <w:rsid w:val="000527BA"/>
    <w:rsid w:val="00073AB8"/>
    <w:rsid w:val="00082890"/>
    <w:rsid w:val="00091687"/>
    <w:rsid w:val="000975F2"/>
    <w:rsid w:val="000A2902"/>
    <w:rsid w:val="000B0FA7"/>
    <w:rsid w:val="000B1261"/>
    <w:rsid w:val="000B175D"/>
    <w:rsid w:val="000B2E9F"/>
    <w:rsid w:val="000B3230"/>
    <w:rsid w:val="000B3560"/>
    <w:rsid w:val="00100918"/>
    <w:rsid w:val="00100D67"/>
    <w:rsid w:val="00101231"/>
    <w:rsid w:val="00102080"/>
    <w:rsid w:val="001022D0"/>
    <w:rsid w:val="00126B69"/>
    <w:rsid w:val="001331CF"/>
    <w:rsid w:val="00133260"/>
    <w:rsid w:val="001562E4"/>
    <w:rsid w:val="00156A99"/>
    <w:rsid w:val="00157E66"/>
    <w:rsid w:val="00182322"/>
    <w:rsid w:val="00185FA4"/>
    <w:rsid w:val="00186F4E"/>
    <w:rsid w:val="001912C9"/>
    <w:rsid w:val="001A3628"/>
    <w:rsid w:val="001C2B79"/>
    <w:rsid w:val="001C2F92"/>
    <w:rsid w:val="001C42C7"/>
    <w:rsid w:val="001C4883"/>
    <w:rsid w:val="001C732F"/>
    <w:rsid w:val="001D55C7"/>
    <w:rsid w:val="001E3C06"/>
    <w:rsid w:val="001E5749"/>
    <w:rsid w:val="00203333"/>
    <w:rsid w:val="00210A5D"/>
    <w:rsid w:val="00220430"/>
    <w:rsid w:val="002428CB"/>
    <w:rsid w:val="0025145B"/>
    <w:rsid w:val="002555F4"/>
    <w:rsid w:val="00275374"/>
    <w:rsid w:val="00285594"/>
    <w:rsid w:val="002865B6"/>
    <w:rsid w:val="00297ED1"/>
    <w:rsid w:val="002B3D6A"/>
    <w:rsid w:val="002C5006"/>
    <w:rsid w:val="002C5DF3"/>
    <w:rsid w:val="002D35A9"/>
    <w:rsid w:val="002E55C0"/>
    <w:rsid w:val="002F0AD4"/>
    <w:rsid w:val="002F7FBF"/>
    <w:rsid w:val="00300B9A"/>
    <w:rsid w:val="0030158F"/>
    <w:rsid w:val="0030659C"/>
    <w:rsid w:val="0031550E"/>
    <w:rsid w:val="0032078F"/>
    <w:rsid w:val="003327C0"/>
    <w:rsid w:val="00342527"/>
    <w:rsid w:val="00347E1F"/>
    <w:rsid w:val="003539E2"/>
    <w:rsid w:val="00380FA5"/>
    <w:rsid w:val="003845FB"/>
    <w:rsid w:val="00386654"/>
    <w:rsid w:val="003956A0"/>
    <w:rsid w:val="003956A8"/>
    <w:rsid w:val="00397196"/>
    <w:rsid w:val="003B37DC"/>
    <w:rsid w:val="003C3B4D"/>
    <w:rsid w:val="003D2241"/>
    <w:rsid w:val="003D7164"/>
    <w:rsid w:val="003E224B"/>
    <w:rsid w:val="003E4BDE"/>
    <w:rsid w:val="003E4F23"/>
    <w:rsid w:val="003F10FC"/>
    <w:rsid w:val="00407EA9"/>
    <w:rsid w:val="00420E5C"/>
    <w:rsid w:val="00422FA9"/>
    <w:rsid w:val="00423A2F"/>
    <w:rsid w:val="004254D7"/>
    <w:rsid w:val="00453403"/>
    <w:rsid w:val="00455C6E"/>
    <w:rsid w:val="004613B0"/>
    <w:rsid w:val="00462CC7"/>
    <w:rsid w:val="00474230"/>
    <w:rsid w:val="00474B56"/>
    <w:rsid w:val="00480590"/>
    <w:rsid w:val="004A238A"/>
    <w:rsid w:val="004B23AF"/>
    <w:rsid w:val="004B3C30"/>
    <w:rsid w:val="004B4659"/>
    <w:rsid w:val="004C1250"/>
    <w:rsid w:val="004C5B0C"/>
    <w:rsid w:val="004D1509"/>
    <w:rsid w:val="004D3A0B"/>
    <w:rsid w:val="004F458D"/>
    <w:rsid w:val="004F72AE"/>
    <w:rsid w:val="00506521"/>
    <w:rsid w:val="005068AF"/>
    <w:rsid w:val="00557103"/>
    <w:rsid w:val="0057182C"/>
    <w:rsid w:val="00574200"/>
    <w:rsid w:val="005927CE"/>
    <w:rsid w:val="005962E6"/>
    <w:rsid w:val="005A089F"/>
    <w:rsid w:val="005B5BB5"/>
    <w:rsid w:val="005D3FA5"/>
    <w:rsid w:val="005D770D"/>
    <w:rsid w:val="005E0E0D"/>
    <w:rsid w:val="005E1DE0"/>
    <w:rsid w:val="005E415F"/>
    <w:rsid w:val="005F4595"/>
    <w:rsid w:val="005F5F92"/>
    <w:rsid w:val="00606165"/>
    <w:rsid w:val="006232DF"/>
    <w:rsid w:val="00627CB3"/>
    <w:rsid w:val="006355D7"/>
    <w:rsid w:val="00651C1A"/>
    <w:rsid w:val="00666E78"/>
    <w:rsid w:val="00672377"/>
    <w:rsid w:val="006754A5"/>
    <w:rsid w:val="00691FFE"/>
    <w:rsid w:val="006B0DFD"/>
    <w:rsid w:val="006B2060"/>
    <w:rsid w:val="006C5071"/>
    <w:rsid w:val="006C616E"/>
    <w:rsid w:val="006C772F"/>
    <w:rsid w:val="006D01DD"/>
    <w:rsid w:val="006D22EF"/>
    <w:rsid w:val="006D493E"/>
    <w:rsid w:val="007061F7"/>
    <w:rsid w:val="00711B6B"/>
    <w:rsid w:val="00713D92"/>
    <w:rsid w:val="007141CF"/>
    <w:rsid w:val="0071483F"/>
    <w:rsid w:val="007317CF"/>
    <w:rsid w:val="00732D16"/>
    <w:rsid w:val="007352A2"/>
    <w:rsid w:val="00736572"/>
    <w:rsid w:val="007415B4"/>
    <w:rsid w:val="00756CF9"/>
    <w:rsid w:val="00766A23"/>
    <w:rsid w:val="007713CE"/>
    <w:rsid w:val="00772EFC"/>
    <w:rsid w:val="0077415C"/>
    <w:rsid w:val="00782366"/>
    <w:rsid w:val="00790A68"/>
    <w:rsid w:val="007B20BB"/>
    <w:rsid w:val="007D4073"/>
    <w:rsid w:val="007E4749"/>
    <w:rsid w:val="007F37FE"/>
    <w:rsid w:val="00812D72"/>
    <w:rsid w:val="00815D38"/>
    <w:rsid w:val="0082291A"/>
    <w:rsid w:val="00822D77"/>
    <w:rsid w:val="00833B4D"/>
    <w:rsid w:val="0083790B"/>
    <w:rsid w:val="00845C77"/>
    <w:rsid w:val="00847380"/>
    <w:rsid w:val="0085744D"/>
    <w:rsid w:val="00864770"/>
    <w:rsid w:val="00876BB8"/>
    <w:rsid w:val="008770DE"/>
    <w:rsid w:val="00897139"/>
    <w:rsid w:val="008A11E9"/>
    <w:rsid w:val="008A6F85"/>
    <w:rsid w:val="008C7FC5"/>
    <w:rsid w:val="008D2E5C"/>
    <w:rsid w:val="008F114F"/>
    <w:rsid w:val="00905B78"/>
    <w:rsid w:val="009139A0"/>
    <w:rsid w:val="00915CDF"/>
    <w:rsid w:val="009229B6"/>
    <w:rsid w:val="009333A5"/>
    <w:rsid w:val="00941681"/>
    <w:rsid w:val="00972A74"/>
    <w:rsid w:val="00981E0C"/>
    <w:rsid w:val="009904F2"/>
    <w:rsid w:val="0099689D"/>
    <w:rsid w:val="009A3EB8"/>
    <w:rsid w:val="009A4A08"/>
    <w:rsid w:val="009B1655"/>
    <w:rsid w:val="009B7CBB"/>
    <w:rsid w:val="009D443D"/>
    <w:rsid w:val="009D7007"/>
    <w:rsid w:val="009E0B8E"/>
    <w:rsid w:val="009E2E98"/>
    <w:rsid w:val="009E3023"/>
    <w:rsid w:val="009E456B"/>
    <w:rsid w:val="009F691E"/>
    <w:rsid w:val="00A0272F"/>
    <w:rsid w:val="00A10763"/>
    <w:rsid w:val="00A12C4E"/>
    <w:rsid w:val="00A2105A"/>
    <w:rsid w:val="00A454C2"/>
    <w:rsid w:val="00A47400"/>
    <w:rsid w:val="00A47AC4"/>
    <w:rsid w:val="00A50496"/>
    <w:rsid w:val="00A61E75"/>
    <w:rsid w:val="00A6428A"/>
    <w:rsid w:val="00A64E4E"/>
    <w:rsid w:val="00A76791"/>
    <w:rsid w:val="00A802E6"/>
    <w:rsid w:val="00A85243"/>
    <w:rsid w:val="00A9575B"/>
    <w:rsid w:val="00A978CC"/>
    <w:rsid w:val="00AA34BC"/>
    <w:rsid w:val="00AC306F"/>
    <w:rsid w:val="00AC55A8"/>
    <w:rsid w:val="00AC7AE6"/>
    <w:rsid w:val="00AE30A3"/>
    <w:rsid w:val="00B16846"/>
    <w:rsid w:val="00B228E2"/>
    <w:rsid w:val="00B30A0C"/>
    <w:rsid w:val="00B4445B"/>
    <w:rsid w:val="00B46D64"/>
    <w:rsid w:val="00B70798"/>
    <w:rsid w:val="00B707D1"/>
    <w:rsid w:val="00B71A3E"/>
    <w:rsid w:val="00B874F3"/>
    <w:rsid w:val="00B92763"/>
    <w:rsid w:val="00BB2B24"/>
    <w:rsid w:val="00BB2BDA"/>
    <w:rsid w:val="00BD54FC"/>
    <w:rsid w:val="00BD723F"/>
    <w:rsid w:val="00BE09BD"/>
    <w:rsid w:val="00BE452D"/>
    <w:rsid w:val="00BE6AE2"/>
    <w:rsid w:val="00BF13CB"/>
    <w:rsid w:val="00BF3C32"/>
    <w:rsid w:val="00C02D1D"/>
    <w:rsid w:val="00C13069"/>
    <w:rsid w:val="00C30D25"/>
    <w:rsid w:val="00C33890"/>
    <w:rsid w:val="00C438D2"/>
    <w:rsid w:val="00C53678"/>
    <w:rsid w:val="00C536A0"/>
    <w:rsid w:val="00C7415B"/>
    <w:rsid w:val="00C872F2"/>
    <w:rsid w:val="00CC127B"/>
    <w:rsid w:val="00CC59AC"/>
    <w:rsid w:val="00CC78AC"/>
    <w:rsid w:val="00CD0448"/>
    <w:rsid w:val="00CD23AB"/>
    <w:rsid w:val="00CD4A94"/>
    <w:rsid w:val="00CE23A7"/>
    <w:rsid w:val="00CF6FE7"/>
    <w:rsid w:val="00D008C7"/>
    <w:rsid w:val="00D040EA"/>
    <w:rsid w:val="00D37CB8"/>
    <w:rsid w:val="00D43A52"/>
    <w:rsid w:val="00D453EF"/>
    <w:rsid w:val="00D53E46"/>
    <w:rsid w:val="00D54DCA"/>
    <w:rsid w:val="00D57EAC"/>
    <w:rsid w:val="00D7502A"/>
    <w:rsid w:val="00D8501C"/>
    <w:rsid w:val="00D91B7E"/>
    <w:rsid w:val="00DA053C"/>
    <w:rsid w:val="00DA43AE"/>
    <w:rsid w:val="00DC6E98"/>
    <w:rsid w:val="00DD4BEA"/>
    <w:rsid w:val="00DE2AEF"/>
    <w:rsid w:val="00DF0CC4"/>
    <w:rsid w:val="00E20492"/>
    <w:rsid w:val="00E20F3C"/>
    <w:rsid w:val="00E21224"/>
    <w:rsid w:val="00E218E5"/>
    <w:rsid w:val="00E43C1E"/>
    <w:rsid w:val="00E66FB6"/>
    <w:rsid w:val="00E819EE"/>
    <w:rsid w:val="00EB745A"/>
    <w:rsid w:val="00EC3F00"/>
    <w:rsid w:val="00ED0C86"/>
    <w:rsid w:val="00ED6685"/>
    <w:rsid w:val="00EE2AD4"/>
    <w:rsid w:val="00EE2FCB"/>
    <w:rsid w:val="00EF01E9"/>
    <w:rsid w:val="00EF06DD"/>
    <w:rsid w:val="00EF56EA"/>
    <w:rsid w:val="00F042AA"/>
    <w:rsid w:val="00F11B62"/>
    <w:rsid w:val="00F14615"/>
    <w:rsid w:val="00F155D8"/>
    <w:rsid w:val="00F25672"/>
    <w:rsid w:val="00F2706D"/>
    <w:rsid w:val="00F40486"/>
    <w:rsid w:val="00F44D95"/>
    <w:rsid w:val="00F450D4"/>
    <w:rsid w:val="00F47CB2"/>
    <w:rsid w:val="00F533F0"/>
    <w:rsid w:val="00F67C86"/>
    <w:rsid w:val="00F71AF9"/>
    <w:rsid w:val="00F7520D"/>
    <w:rsid w:val="00F842B3"/>
    <w:rsid w:val="00F85A91"/>
    <w:rsid w:val="00F95368"/>
    <w:rsid w:val="00FA65B7"/>
    <w:rsid w:val="00FD2285"/>
    <w:rsid w:val="00FF3973"/>
    <w:rsid w:val="17EF75A3"/>
    <w:rsid w:val="1D8FC06A"/>
    <w:rsid w:val="1DD3DF8B"/>
    <w:rsid w:val="1E5F69F4"/>
    <w:rsid w:val="29ED9580"/>
    <w:rsid w:val="2E27452F"/>
    <w:rsid w:val="37EBBD1B"/>
    <w:rsid w:val="3C777328"/>
    <w:rsid w:val="3ECCD888"/>
    <w:rsid w:val="3EE80539"/>
    <w:rsid w:val="3FC718A4"/>
    <w:rsid w:val="3FF5A05D"/>
    <w:rsid w:val="3FFA8405"/>
    <w:rsid w:val="3FFBD473"/>
    <w:rsid w:val="53D57825"/>
    <w:rsid w:val="55E3B1D8"/>
    <w:rsid w:val="56283AA4"/>
    <w:rsid w:val="57EF2E2C"/>
    <w:rsid w:val="5B7B7964"/>
    <w:rsid w:val="5EF7F0EB"/>
    <w:rsid w:val="5FAD4023"/>
    <w:rsid w:val="5FB4D629"/>
    <w:rsid w:val="5FB96CB5"/>
    <w:rsid w:val="5FEBCE62"/>
    <w:rsid w:val="664900CD"/>
    <w:rsid w:val="675FF650"/>
    <w:rsid w:val="6FFE1D53"/>
    <w:rsid w:val="736F1695"/>
    <w:rsid w:val="73F7FEA7"/>
    <w:rsid w:val="7533DB28"/>
    <w:rsid w:val="77470513"/>
    <w:rsid w:val="778E4FA8"/>
    <w:rsid w:val="77B8913F"/>
    <w:rsid w:val="77CF2C73"/>
    <w:rsid w:val="77DE62FD"/>
    <w:rsid w:val="77DF4B2C"/>
    <w:rsid w:val="7B18BB63"/>
    <w:rsid w:val="7B7D35DA"/>
    <w:rsid w:val="7C7FC6AD"/>
    <w:rsid w:val="7D713E16"/>
    <w:rsid w:val="7D7F460A"/>
    <w:rsid w:val="7DB5EB00"/>
    <w:rsid w:val="7DDF97F6"/>
    <w:rsid w:val="7DF635B3"/>
    <w:rsid w:val="7DFE782A"/>
    <w:rsid w:val="7ED7CFFA"/>
    <w:rsid w:val="7EFF312F"/>
    <w:rsid w:val="7FB60137"/>
    <w:rsid w:val="7FEDDFBD"/>
    <w:rsid w:val="7FF5C98F"/>
    <w:rsid w:val="7FFA75DE"/>
    <w:rsid w:val="90DFEE8C"/>
    <w:rsid w:val="9F9BF832"/>
    <w:rsid w:val="AE7B7147"/>
    <w:rsid w:val="AFB73E15"/>
    <w:rsid w:val="B2FB028F"/>
    <w:rsid w:val="B7FAEFAB"/>
    <w:rsid w:val="BBB2C678"/>
    <w:rsid w:val="BDA720EF"/>
    <w:rsid w:val="BF3BCC26"/>
    <w:rsid w:val="BFDDA7AD"/>
    <w:rsid w:val="BFFD6276"/>
    <w:rsid w:val="BFFD7C0B"/>
    <w:rsid w:val="C55B467B"/>
    <w:rsid w:val="C9ED9B6B"/>
    <w:rsid w:val="CDEF2B50"/>
    <w:rsid w:val="CFFD9D69"/>
    <w:rsid w:val="DAD509B2"/>
    <w:rsid w:val="DC1E952F"/>
    <w:rsid w:val="DDCF371E"/>
    <w:rsid w:val="DEDBC400"/>
    <w:rsid w:val="DEFB7053"/>
    <w:rsid w:val="DFBC27D3"/>
    <w:rsid w:val="DFBED80D"/>
    <w:rsid w:val="DFF33B2A"/>
    <w:rsid w:val="E6FCC108"/>
    <w:rsid w:val="EADFBAFD"/>
    <w:rsid w:val="EBFFB0A3"/>
    <w:rsid w:val="ECFDE1FE"/>
    <w:rsid w:val="ED9B2B7B"/>
    <w:rsid w:val="EF7F48DB"/>
    <w:rsid w:val="EFFFA1B5"/>
    <w:rsid w:val="F07F318E"/>
    <w:rsid w:val="F0DF3543"/>
    <w:rsid w:val="F0FFFD90"/>
    <w:rsid w:val="F2D980F3"/>
    <w:rsid w:val="F77F1160"/>
    <w:rsid w:val="F7E591DE"/>
    <w:rsid w:val="FAFF6479"/>
    <w:rsid w:val="FB7FAE90"/>
    <w:rsid w:val="FBB658B2"/>
    <w:rsid w:val="FBBFB95E"/>
    <w:rsid w:val="FBBFF399"/>
    <w:rsid w:val="FBF56707"/>
    <w:rsid w:val="FDF7D72C"/>
    <w:rsid w:val="FEDC976C"/>
    <w:rsid w:val="FEF6CB5B"/>
    <w:rsid w:val="FF3DDBE6"/>
    <w:rsid w:val="FF968374"/>
    <w:rsid w:val="FFB26831"/>
    <w:rsid w:val="FFBF9F4A"/>
    <w:rsid w:val="FFEF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Plain Text"/>
    <w:basedOn w:val="1"/>
    <w:link w:val="15"/>
    <w:qFormat/>
    <w:uiPriority w:val="0"/>
    <w:rPr>
      <w:rFonts w:ascii="宋体" w:hAnsi="Courier New"/>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kern w:val="0"/>
      <w:sz w:val="24"/>
    </w:rPr>
  </w:style>
  <w:style w:type="paragraph" w:styleId="8">
    <w:name w:val="annotation subject"/>
    <w:basedOn w:val="2"/>
    <w:next w:val="2"/>
    <w:link w:val="18"/>
    <w:qFormat/>
    <w:uiPriority w:val="99"/>
    <w:rPr>
      <w:b/>
      <w:bCs/>
    </w:rPr>
  </w:style>
  <w:style w:type="character" w:styleId="11">
    <w:name w:val="annotation reference"/>
    <w:qFormat/>
    <w:uiPriority w:val="99"/>
    <w:rPr>
      <w:sz w:val="21"/>
      <w:szCs w:val="21"/>
    </w:rPr>
  </w:style>
  <w:style w:type="character" w:customStyle="1" w:styleId="12">
    <w:name w:val="页眉 字符"/>
    <w:link w:val="6"/>
    <w:qFormat/>
    <w:uiPriority w:val="0"/>
    <w:rPr>
      <w:kern w:val="2"/>
      <w:sz w:val="18"/>
    </w:rPr>
  </w:style>
  <w:style w:type="character" w:customStyle="1" w:styleId="13">
    <w:name w:val="批注框文本 字符"/>
    <w:link w:val="4"/>
    <w:qFormat/>
    <w:uiPriority w:val="99"/>
    <w:rPr>
      <w:kern w:val="2"/>
      <w:sz w:val="18"/>
      <w:szCs w:val="18"/>
    </w:rPr>
  </w:style>
  <w:style w:type="character" w:customStyle="1" w:styleId="14">
    <w:name w:val="页脚 字符"/>
    <w:link w:val="5"/>
    <w:qFormat/>
    <w:uiPriority w:val="99"/>
    <w:rPr>
      <w:kern w:val="2"/>
      <w:sz w:val="18"/>
    </w:rPr>
  </w:style>
  <w:style w:type="character" w:customStyle="1" w:styleId="15">
    <w:name w:val="纯文本 字符1"/>
    <w:link w:val="3"/>
    <w:qFormat/>
    <w:uiPriority w:val="0"/>
    <w:rPr>
      <w:rFonts w:ascii="宋体" w:hAnsi="Courier New"/>
      <w:kern w:val="2"/>
      <w:sz w:val="21"/>
    </w:rPr>
  </w:style>
  <w:style w:type="character" w:customStyle="1" w:styleId="16">
    <w:name w:val="纯文本 字符"/>
    <w:qFormat/>
    <w:uiPriority w:val="0"/>
    <w:rPr>
      <w:rFonts w:ascii="宋体" w:hAnsi="Courier New"/>
      <w:kern w:val="2"/>
      <w:sz w:val="21"/>
    </w:rPr>
  </w:style>
  <w:style w:type="character" w:customStyle="1" w:styleId="17">
    <w:name w:val="批注文字 字符"/>
    <w:link w:val="2"/>
    <w:qFormat/>
    <w:uiPriority w:val="99"/>
    <w:rPr>
      <w:kern w:val="2"/>
      <w:sz w:val="21"/>
    </w:rPr>
  </w:style>
  <w:style w:type="character" w:customStyle="1" w:styleId="18">
    <w:name w:val="批注主题 字符"/>
    <w:link w:val="8"/>
    <w:qFormat/>
    <w:uiPriority w:val="99"/>
    <w:rPr>
      <w:b/>
      <w:bCs/>
      <w:kern w:val="2"/>
      <w:sz w:val="21"/>
    </w:rPr>
  </w:style>
  <w:style w:type="paragraph" w:customStyle="1" w:styleId="19">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styleId="20">
    <w:name w:val="List Paragraph"/>
    <w:basedOn w:val="1"/>
    <w:qFormat/>
    <w:uiPriority w:val="34"/>
    <w:pPr>
      <w:spacing w:after="0" w:line="240" w:lineRule="auto"/>
      <w:ind w:firstLine="420" w:firstLineChars="200"/>
    </w:pPr>
    <w:rPr>
      <w:rFonts w:ascii="等线" w:hAnsi="等线" w:eastAsia="等线" w:cs="宋体"/>
      <w:szCs w:val="22"/>
    </w:rPr>
  </w:style>
  <w:style w:type="paragraph" w:customStyle="1" w:styleId="21">
    <w:name w:val="修订2"/>
    <w:hidden/>
    <w:unhideWhenUsed/>
    <w:qFormat/>
    <w:uiPriority w:val="99"/>
    <w:pPr>
      <w:spacing w:after="0" w:line="240" w:lineRule="auto"/>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1152</Words>
  <Characters>6568</Characters>
  <Lines>54</Lines>
  <Paragraphs>15</Paragraphs>
  <TotalTime>67</TotalTime>
  <ScaleCrop>false</ScaleCrop>
  <LinksUpToDate>false</LinksUpToDate>
  <CharactersWithSpaces>7705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2024-08-23T22:02:00Z</dcterms:created>
  <dc:creator>yx</dc:creator>
  <cp:lastModifiedBy>zhangkai</cp:lastModifiedBy>
  <cp:lastPrinted>2024-06-21T03:26:00Z</cp:lastPrinted>
  <dcterms:modified xsi:type="dcterms:W3CDTF">2024-09-11T15:36:03Z</dcterms:modified>
  <dc:title>第十五届全国运动会垒球项目竞赛规程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